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24FD3" w14:textId="77777777" w:rsidR="006E3EE1" w:rsidRPr="00D82528" w:rsidRDefault="006E3EE1" w:rsidP="00A40A83">
      <w:pPr>
        <w:spacing w:after="0" w:line="240" w:lineRule="auto"/>
        <w:ind w:left="709"/>
        <w:jc w:val="center"/>
        <w:rPr>
          <w:rFonts w:ascii="Times New Roman" w:eastAsia="Times New Roman" w:hAnsi="Times New Roman" w:cs="Times New Roman"/>
          <w:b/>
          <w:sz w:val="28"/>
          <w:szCs w:val="28"/>
          <w:lang w:eastAsia="pl-PL"/>
        </w:rPr>
      </w:pPr>
      <w:r w:rsidRPr="00D82528">
        <w:rPr>
          <w:rFonts w:ascii="Times New Roman" w:eastAsia="Times New Roman" w:hAnsi="Times New Roman" w:cs="Times New Roman"/>
          <w:b/>
          <w:sz w:val="28"/>
          <w:szCs w:val="28"/>
          <w:lang w:eastAsia="pl-PL"/>
        </w:rPr>
        <w:t xml:space="preserve">SPECYFIKACJE TECHNICZNE WYKONANIA I ODBIORU ROBÓT BUDOWLANYCH </w:t>
      </w:r>
    </w:p>
    <w:p w14:paraId="00ED1684" w14:textId="77777777" w:rsidR="006E3EE1" w:rsidRPr="00D82528" w:rsidRDefault="006E3EE1" w:rsidP="00A40A83">
      <w:pPr>
        <w:spacing w:after="0" w:line="240" w:lineRule="auto"/>
        <w:ind w:left="709"/>
        <w:jc w:val="center"/>
        <w:rPr>
          <w:rFonts w:ascii="Times New Roman" w:eastAsia="Times New Roman" w:hAnsi="Times New Roman" w:cs="Times New Roman"/>
          <w:b/>
          <w:sz w:val="28"/>
          <w:szCs w:val="28"/>
          <w:lang w:eastAsia="pl-PL"/>
        </w:rPr>
      </w:pPr>
    </w:p>
    <w:p w14:paraId="228576A9" w14:textId="77777777" w:rsidR="006E3EE1" w:rsidRPr="00D82528" w:rsidRDefault="006E3EE1" w:rsidP="00A40A83">
      <w:pPr>
        <w:spacing w:after="0" w:line="240" w:lineRule="auto"/>
        <w:ind w:left="709"/>
        <w:jc w:val="center"/>
        <w:rPr>
          <w:rFonts w:ascii="Times New Roman" w:eastAsia="Times New Roman" w:hAnsi="Times New Roman" w:cs="Times New Roman"/>
          <w:b/>
          <w:sz w:val="28"/>
          <w:szCs w:val="28"/>
          <w:lang w:eastAsia="pl-PL"/>
        </w:rPr>
      </w:pPr>
      <w:bookmarkStart w:id="0" w:name="_Hlk50204467"/>
      <w:r w:rsidRPr="00D82528">
        <w:rPr>
          <w:rFonts w:ascii="Times New Roman" w:eastAsia="Times New Roman" w:hAnsi="Times New Roman" w:cs="Times New Roman"/>
          <w:b/>
          <w:sz w:val="28"/>
          <w:szCs w:val="28"/>
          <w:lang w:eastAsia="pl-PL"/>
        </w:rPr>
        <w:t>D.04.04.04</w:t>
      </w:r>
    </w:p>
    <w:p w14:paraId="7525E76B" w14:textId="63160858" w:rsidR="006E3EE1" w:rsidRPr="00D82528" w:rsidRDefault="006E3EE1" w:rsidP="00A40A83">
      <w:pPr>
        <w:spacing w:after="0" w:line="240" w:lineRule="auto"/>
        <w:ind w:left="709"/>
        <w:jc w:val="center"/>
        <w:rPr>
          <w:rFonts w:ascii="Times New Roman" w:eastAsia="Times New Roman" w:hAnsi="Times New Roman" w:cs="Times New Roman"/>
          <w:b/>
          <w:sz w:val="28"/>
          <w:szCs w:val="28"/>
          <w:lang w:eastAsia="pl-PL"/>
        </w:rPr>
      </w:pPr>
      <w:r w:rsidRPr="00D82528">
        <w:rPr>
          <w:rFonts w:ascii="Times New Roman" w:eastAsia="Times New Roman" w:hAnsi="Times New Roman" w:cs="Times New Roman"/>
          <w:b/>
          <w:sz w:val="28"/>
          <w:szCs w:val="28"/>
          <w:lang w:eastAsia="pl-PL"/>
        </w:rPr>
        <w:t>Podbudowa z tłucznia kamiennego</w:t>
      </w:r>
      <w:r w:rsidR="00B764AC" w:rsidRPr="00B764AC">
        <w:rPr>
          <w:rFonts w:ascii="Times New Roman" w:eastAsia="Times New Roman" w:hAnsi="Times New Roman" w:cs="Times New Roman"/>
          <w:b/>
          <w:sz w:val="28"/>
          <w:szCs w:val="28"/>
          <w:lang w:eastAsia="pl-PL"/>
        </w:rPr>
        <w:t xml:space="preserve"> </w:t>
      </w:r>
      <w:r w:rsidR="00B764AC" w:rsidRPr="00D82528">
        <w:rPr>
          <w:rFonts w:ascii="Times New Roman" w:eastAsia="Times New Roman" w:hAnsi="Times New Roman" w:cs="Times New Roman"/>
          <w:b/>
          <w:sz w:val="28"/>
          <w:szCs w:val="28"/>
          <w:lang w:eastAsia="pl-PL"/>
        </w:rPr>
        <w:t xml:space="preserve">gr. w-wy </w:t>
      </w:r>
      <w:r w:rsidR="00B764AC">
        <w:rPr>
          <w:rFonts w:ascii="Times New Roman" w:eastAsia="Times New Roman" w:hAnsi="Times New Roman" w:cs="Times New Roman"/>
          <w:b/>
          <w:sz w:val="28"/>
          <w:szCs w:val="28"/>
          <w:lang w:eastAsia="pl-PL"/>
        </w:rPr>
        <w:t>15</w:t>
      </w:r>
      <w:r w:rsidR="00B764AC" w:rsidRPr="00D82528">
        <w:rPr>
          <w:rFonts w:ascii="Times New Roman" w:eastAsia="Times New Roman" w:hAnsi="Times New Roman" w:cs="Times New Roman"/>
          <w:b/>
          <w:sz w:val="28"/>
          <w:szCs w:val="28"/>
          <w:lang w:eastAsia="pl-PL"/>
        </w:rPr>
        <w:t xml:space="preserve"> cm</w:t>
      </w:r>
    </w:p>
    <w:bookmarkEnd w:id="0"/>
    <w:p w14:paraId="4A2BD7CA" w14:textId="77777777" w:rsidR="006E3EE1" w:rsidRPr="00D82528" w:rsidRDefault="006E3EE1" w:rsidP="00A40A83">
      <w:pPr>
        <w:spacing w:after="0" w:line="240" w:lineRule="auto"/>
        <w:ind w:left="709"/>
        <w:jc w:val="center"/>
        <w:rPr>
          <w:rFonts w:ascii="Times New Roman" w:eastAsia="Times New Roman" w:hAnsi="Times New Roman" w:cs="Times New Roman"/>
          <w:b/>
          <w:sz w:val="28"/>
          <w:szCs w:val="28"/>
          <w:lang w:eastAsia="pl-PL"/>
        </w:rPr>
      </w:pPr>
    </w:p>
    <w:p w14:paraId="497BC85F" w14:textId="77777777" w:rsidR="006E3EE1" w:rsidRPr="00D82528" w:rsidRDefault="006E3EE1" w:rsidP="00A40A83">
      <w:pPr>
        <w:spacing w:after="0" w:line="240" w:lineRule="auto"/>
        <w:ind w:left="709"/>
        <w:rPr>
          <w:rFonts w:ascii="Times New Roman" w:eastAsia="Times New Roman" w:hAnsi="Times New Roman" w:cs="Times New Roman"/>
          <w:b/>
          <w:bCs/>
          <w:sz w:val="24"/>
          <w:szCs w:val="24"/>
          <w:lang w:eastAsia="pl-PL"/>
        </w:rPr>
      </w:pPr>
    </w:p>
    <w:p w14:paraId="2CC2C984" w14:textId="66F8EE09" w:rsidR="006E3EE1" w:rsidRDefault="006E3EE1" w:rsidP="00A40A83">
      <w:pPr>
        <w:spacing w:after="0" w:line="240" w:lineRule="auto"/>
        <w:ind w:left="709"/>
        <w:jc w:val="center"/>
        <w:rPr>
          <w:rFonts w:ascii="Times New Roman" w:eastAsia="Times New Roman" w:hAnsi="Times New Roman" w:cs="Times New Roman"/>
          <w:b/>
          <w:bCs/>
          <w:sz w:val="24"/>
          <w:szCs w:val="24"/>
          <w:lang w:eastAsia="pl-PL"/>
        </w:rPr>
      </w:pPr>
    </w:p>
    <w:p w14:paraId="76D0CE6B" w14:textId="438BE871" w:rsidR="00D82528" w:rsidRDefault="00D82528" w:rsidP="00A40A83">
      <w:pPr>
        <w:spacing w:after="0" w:line="240" w:lineRule="auto"/>
        <w:ind w:left="709"/>
        <w:jc w:val="center"/>
        <w:rPr>
          <w:rFonts w:ascii="Times New Roman" w:eastAsia="Times New Roman" w:hAnsi="Times New Roman" w:cs="Times New Roman"/>
          <w:b/>
          <w:bCs/>
          <w:sz w:val="24"/>
          <w:szCs w:val="24"/>
          <w:lang w:eastAsia="pl-PL"/>
        </w:rPr>
      </w:pPr>
    </w:p>
    <w:p w14:paraId="6960FD68" w14:textId="48E66E20" w:rsidR="00D82528" w:rsidRDefault="00D82528" w:rsidP="00A40A83">
      <w:pPr>
        <w:spacing w:after="0" w:line="240" w:lineRule="auto"/>
        <w:ind w:left="709"/>
        <w:jc w:val="center"/>
        <w:rPr>
          <w:rFonts w:ascii="Times New Roman" w:eastAsia="Times New Roman" w:hAnsi="Times New Roman" w:cs="Times New Roman"/>
          <w:b/>
          <w:bCs/>
          <w:sz w:val="24"/>
          <w:szCs w:val="24"/>
          <w:lang w:eastAsia="pl-PL"/>
        </w:rPr>
      </w:pPr>
    </w:p>
    <w:p w14:paraId="4B1B9851" w14:textId="77777777" w:rsidR="00D82528" w:rsidRPr="00D82528" w:rsidRDefault="00D82528" w:rsidP="00A40A83">
      <w:pPr>
        <w:spacing w:after="0" w:line="240" w:lineRule="auto"/>
        <w:ind w:left="709"/>
        <w:jc w:val="center"/>
        <w:rPr>
          <w:rFonts w:ascii="Times New Roman" w:eastAsia="Times New Roman" w:hAnsi="Times New Roman" w:cs="Times New Roman"/>
          <w:b/>
          <w:bCs/>
          <w:sz w:val="24"/>
          <w:szCs w:val="24"/>
          <w:lang w:eastAsia="pl-PL"/>
        </w:rPr>
      </w:pPr>
    </w:p>
    <w:p w14:paraId="47B9A119" w14:textId="77777777" w:rsidR="006E3EE1" w:rsidRPr="00D82528" w:rsidRDefault="006E3EE1" w:rsidP="00A40A83">
      <w:pPr>
        <w:spacing w:after="0" w:line="240" w:lineRule="auto"/>
        <w:ind w:left="709"/>
        <w:jc w:val="center"/>
        <w:rPr>
          <w:rFonts w:ascii="Times New Roman" w:eastAsia="Times New Roman" w:hAnsi="Times New Roman" w:cs="Times New Roman"/>
          <w:b/>
          <w:sz w:val="24"/>
          <w:szCs w:val="24"/>
          <w:lang w:eastAsia="pl-PL"/>
        </w:rPr>
      </w:pPr>
    </w:p>
    <w:p w14:paraId="3766153F" w14:textId="77777777" w:rsidR="006E3EE1" w:rsidRPr="00D82528" w:rsidRDefault="006E3EE1" w:rsidP="00A40A83">
      <w:pPr>
        <w:spacing w:after="0" w:line="240" w:lineRule="auto"/>
        <w:ind w:left="709"/>
        <w:jc w:val="both"/>
        <w:rPr>
          <w:rFonts w:ascii="Times New Roman" w:eastAsia="Times New Roman" w:hAnsi="Times New Roman" w:cs="Times New Roman"/>
          <w:b/>
          <w:sz w:val="32"/>
          <w:szCs w:val="32"/>
          <w:lang w:eastAsia="pl-PL"/>
        </w:rPr>
      </w:pPr>
      <w:bookmarkStart w:id="1" w:name="_Toc423398330"/>
      <w:r w:rsidRPr="00D82528">
        <w:rPr>
          <w:rFonts w:ascii="Times New Roman" w:eastAsia="Times New Roman" w:hAnsi="Times New Roman" w:cs="Times New Roman"/>
          <w:b/>
          <w:sz w:val="32"/>
          <w:szCs w:val="32"/>
          <w:lang w:eastAsia="pl-PL"/>
        </w:rPr>
        <w:t>1. WSTĘP</w:t>
      </w:r>
      <w:bookmarkEnd w:id="1"/>
    </w:p>
    <w:p w14:paraId="6249F192" w14:textId="02A5E70B" w:rsidR="006E3EE1" w:rsidRPr="00D82528" w:rsidRDefault="006E3EE1" w:rsidP="00A40A83">
      <w:pPr>
        <w:keepNext/>
        <w:spacing w:after="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1.1.Przedmiot STWIORB</w:t>
      </w:r>
    </w:p>
    <w:p w14:paraId="0E29B3CF" w14:textId="77777777" w:rsidR="00B764AC" w:rsidRDefault="006E3EE1" w:rsidP="00A40A83">
      <w:pPr>
        <w:spacing w:after="0" w:line="240" w:lineRule="auto"/>
        <w:ind w:left="709"/>
        <w:rPr>
          <w:rFonts w:ascii="Times New Roman" w:eastAsia="Times New Roman" w:hAnsi="Times New Roman" w:cs="Times New Roman"/>
          <w:bCs/>
          <w:sz w:val="24"/>
          <w:szCs w:val="24"/>
          <w:lang w:eastAsia="pl-PL"/>
        </w:rPr>
      </w:pPr>
      <w:r w:rsidRPr="00D82528">
        <w:rPr>
          <w:rFonts w:ascii="Times New Roman" w:eastAsia="Times New Roman" w:hAnsi="Times New Roman" w:cs="Times New Roman"/>
          <w:b/>
          <w:sz w:val="24"/>
          <w:szCs w:val="24"/>
          <w:lang w:eastAsia="pl-PL"/>
        </w:rPr>
        <w:tab/>
      </w:r>
      <w:r w:rsidRPr="00D82528">
        <w:rPr>
          <w:rFonts w:ascii="Times New Roman" w:eastAsia="Times New Roman" w:hAnsi="Times New Roman" w:cs="Times New Roman"/>
          <w:sz w:val="24"/>
          <w:szCs w:val="24"/>
          <w:lang w:eastAsia="pl-PL"/>
        </w:rPr>
        <w:t xml:space="preserve">Przedmiotem niniejszej  specyfikacji technicznej są wymagania dotyczące wykonania i odbioru robót związanych z wykonaniem podbudów z tłucznia kamiennego </w:t>
      </w:r>
      <w:r w:rsidRPr="00D82528">
        <w:rPr>
          <w:rFonts w:ascii="Times New Roman" w:eastAsia="Times New Roman" w:hAnsi="Times New Roman" w:cs="Times New Roman"/>
          <w:bCs/>
          <w:sz w:val="24"/>
          <w:szCs w:val="24"/>
          <w:lang w:eastAsia="pl-PL"/>
        </w:rPr>
        <w:t xml:space="preserve">dla zadania pod nazwą: </w:t>
      </w:r>
    </w:p>
    <w:p w14:paraId="5406D857" w14:textId="1DE969AD" w:rsidR="00B764AC" w:rsidRPr="00B764AC" w:rsidRDefault="00B764AC" w:rsidP="00A40A83">
      <w:pPr>
        <w:spacing w:after="0" w:line="240" w:lineRule="auto"/>
        <w:ind w:left="709"/>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w:t>
      </w:r>
      <w:r w:rsidR="00DE5AC7">
        <w:rPr>
          <w:rFonts w:ascii="Times New Roman" w:hAnsi="Times New Roman"/>
          <w:b/>
          <w:bCs/>
          <w:sz w:val="24"/>
          <w:szCs w:val="24"/>
        </w:rPr>
        <w:t>Przebudowa drogi powiatowej nr 3149D km 7+700-7+841 oraz 7+978-8+466 w m. Potworów</w:t>
      </w:r>
      <w:r>
        <w:rPr>
          <w:rFonts w:ascii="Times New Roman" w:eastAsia="Times New Roman" w:hAnsi="Times New Roman" w:cs="Times New Roman"/>
          <w:b/>
          <w:sz w:val="24"/>
          <w:szCs w:val="24"/>
          <w:lang w:eastAsia="pl-PL"/>
        </w:rPr>
        <w:t>”</w:t>
      </w:r>
    </w:p>
    <w:p w14:paraId="0556960D" w14:textId="592AA4F3"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1.2. Zakres stosowania STWIORB</w:t>
      </w:r>
    </w:p>
    <w:p w14:paraId="65C73654" w14:textId="77777777" w:rsidR="006E3EE1" w:rsidRPr="00D82528" w:rsidRDefault="006E3EE1" w:rsidP="00A40A83">
      <w:pPr>
        <w:tabs>
          <w:tab w:val="left" w:pos="0"/>
        </w:tabs>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 xml:space="preserve">Specyfikacja techniczna (STWIORB) stosowanej jako dokument przetargowy i kontraktowy przy zlecaniu i realizacji robót wymienionych w pkt 1.1. </w:t>
      </w:r>
    </w:p>
    <w:p w14:paraId="267C2AE7"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1.3. Zakres robót objętych STWIORB</w:t>
      </w:r>
    </w:p>
    <w:p w14:paraId="0486B976" w14:textId="75907478"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b/>
          <w:sz w:val="24"/>
          <w:szCs w:val="24"/>
          <w:lang w:eastAsia="pl-PL"/>
        </w:rPr>
        <w:tab/>
      </w:r>
      <w:r w:rsidRPr="00D82528">
        <w:rPr>
          <w:rFonts w:ascii="Times New Roman" w:eastAsia="Times New Roman" w:hAnsi="Times New Roman" w:cs="Times New Roman"/>
          <w:sz w:val="24"/>
          <w:szCs w:val="24"/>
          <w:lang w:eastAsia="pl-PL"/>
        </w:rPr>
        <w:t>Ustalenia zawarte w niniejszej specyfikacji dotyczą zasad prowadzenia robót związanych z wykonywaniem podbud</w:t>
      </w:r>
      <w:r w:rsidR="001623ED" w:rsidRPr="00D82528">
        <w:rPr>
          <w:rFonts w:ascii="Times New Roman" w:eastAsia="Times New Roman" w:hAnsi="Times New Roman" w:cs="Times New Roman"/>
          <w:sz w:val="24"/>
          <w:szCs w:val="24"/>
          <w:lang w:eastAsia="pl-PL"/>
        </w:rPr>
        <w:t>owy nawierzchni</w:t>
      </w:r>
      <w:r w:rsidRPr="00D82528">
        <w:rPr>
          <w:rFonts w:ascii="Times New Roman" w:eastAsia="Times New Roman" w:hAnsi="Times New Roman" w:cs="Times New Roman"/>
          <w:sz w:val="24"/>
          <w:szCs w:val="24"/>
          <w:lang w:eastAsia="pl-PL"/>
        </w:rPr>
        <w:t xml:space="preserve"> z tłucznia kamiennego</w:t>
      </w:r>
      <w:r w:rsidR="001623ED" w:rsidRPr="00D82528">
        <w:rPr>
          <w:rFonts w:ascii="Times New Roman" w:eastAsia="Times New Roman" w:hAnsi="Times New Roman" w:cs="Times New Roman"/>
          <w:sz w:val="24"/>
          <w:szCs w:val="24"/>
          <w:lang w:eastAsia="pl-PL"/>
        </w:rPr>
        <w:t xml:space="preserve"> w </w:t>
      </w:r>
      <w:r w:rsidRPr="00D82528">
        <w:rPr>
          <w:rFonts w:ascii="Times New Roman" w:eastAsia="Times New Roman" w:hAnsi="Times New Roman" w:cs="Times New Roman"/>
          <w:sz w:val="24"/>
          <w:szCs w:val="24"/>
          <w:lang w:eastAsia="pl-PL"/>
        </w:rPr>
        <w:t>zakresie podanym w dokumentacji projektowej</w:t>
      </w:r>
      <w:r w:rsidR="001623ED" w:rsidRPr="00D82528">
        <w:rPr>
          <w:rFonts w:ascii="Times New Roman" w:eastAsia="Times New Roman" w:hAnsi="Times New Roman" w:cs="Times New Roman"/>
          <w:sz w:val="24"/>
          <w:szCs w:val="24"/>
          <w:lang w:eastAsia="pl-PL"/>
        </w:rPr>
        <w:t xml:space="preserve"> i obejmuje odcinki drogi </w:t>
      </w:r>
      <w:r w:rsidR="00D82528">
        <w:rPr>
          <w:rFonts w:ascii="Times New Roman" w:eastAsia="Times New Roman" w:hAnsi="Times New Roman" w:cs="Times New Roman"/>
          <w:sz w:val="24"/>
          <w:szCs w:val="24"/>
          <w:lang w:eastAsia="pl-PL"/>
        </w:rPr>
        <w:t>oraz powierzchnie zjazdów na tereny posesji i dróg lokalnych</w:t>
      </w:r>
      <w:r w:rsidR="001623ED" w:rsidRPr="00D82528">
        <w:rPr>
          <w:rFonts w:ascii="Times New Roman" w:eastAsia="Times New Roman" w:hAnsi="Times New Roman" w:cs="Times New Roman"/>
          <w:sz w:val="24"/>
          <w:szCs w:val="24"/>
          <w:lang w:eastAsia="pl-PL"/>
        </w:rPr>
        <w:t xml:space="preserve">. </w:t>
      </w:r>
    </w:p>
    <w:p w14:paraId="3F8599AB"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1.4. Określenia podstawowe</w:t>
      </w:r>
    </w:p>
    <w:p w14:paraId="0364F8A3"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b/>
          <w:sz w:val="24"/>
          <w:szCs w:val="24"/>
          <w:lang w:eastAsia="pl-PL"/>
        </w:rPr>
        <w:t xml:space="preserve">1.4.1. </w:t>
      </w:r>
      <w:r w:rsidRPr="00D82528">
        <w:rPr>
          <w:rFonts w:ascii="Times New Roman" w:eastAsia="Times New Roman" w:hAnsi="Times New Roman" w:cs="Times New Roman"/>
          <w:sz w:val="24"/>
          <w:szCs w:val="24"/>
          <w:lang w:eastAsia="pl-PL"/>
        </w:rPr>
        <w:t>Podbudowa z tłucznia kamiennego - część konstrukcji nawierzchni składająca się z jednej lub więcej warstw nośnych z tłucznia i klińca kamiennego.</w:t>
      </w:r>
    </w:p>
    <w:p w14:paraId="53A32B94" w14:textId="77777777" w:rsidR="006E3EE1" w:rsidRPr="00D82528" w:rsidRDefault="006E3EE1" w:rsidP="00A40A83">
      <w:pPr>
        <w:spacing w:before="120"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b/>
          <w:sz w:val="24"/>
          <w:szCs w:val="24"/>
          <w:lang w:eastAsia="pl-PL"/>
        </w:rPr>
        <w:t xml:space="preserve">1.4.2. </w:t>
      </w:r>
      <w:r w:rsidRPr="00D82528">
        <w:rPr>
          <w:rFonts w:ascii="Times New Roman" w:eastAsia="Times New Roman" w:hAnsi="Times New Roman" w:cs="Times New Roman"/>
          <w:sz w:val="24"/>
          <w:szCs w:val="24"/>
          <w:lang w:eastAsia="pl-PL"/>
        </w:rPr>
        <w:t xml:space="preserve">Pozostałe określenia są zgodne z obowiązującymi, odpowiednimi polskimi normami i z definicjami podanymi w ST D-M-00.00.00 „Wymagania ogólne” pkt 1.4. </w:t>
      </w:r>
    </w:p>
    <w:p w14:paraId="35CBA69B"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1.5. Ogólne wymagania dotyczące robót</w:t>
      </w:r>
    </w:p>
    <w:p w14:paraId="60C359FB" w14:textId="46EE5854"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Ogólne wymagania dotyczące robót podano w ST D-M-00.00.00 „Wymagania ogólne” pkt 1.5.</w:t>
      </w:r>
    </w:p>
    <w:p w14:paraId="40BF5A0B" w14:textId="07EE356F" w:rsidR="00813BD0" w:rsidRPr="00D82528" w:rsidRDefault="00813BD0" w:rsidP="00A40A83">
      <w:pPr>
        <w:spacing w:after="0" w:line="240" w:lineRule="auto"/>
        <w:ind w:left="709"/>
        <w:rPr>
          <w:rFonts w:ascii="Times New Roman" w:eastAsia="Times New Roman" w:hAnsi="Times New Roman" w:cs="Times New Roman"/>
          <w:sz w:val="24"/>
          <w:szCs w:val="24"/>
          <w:lang w:eastAsia="pl-PL"/>
        </w:rPr>
      </w:pPr>
    </w:p>
    <w:p w14:paraId="5884AA35" w14:textId="63C07A1E" w:rsidR="00813BD0" w:rsidRPr="00D82528" w:rsidRDefault="00813BD0" w:rsidP="00A40A83">
      <w:pPr>
        <w:spacing w:after="0" w:line="240" w:lineRule="auto"/>
        <w:ind w:left="709"/>
        <w:rPr>
          <w:rFonts w:ascii="Times New Roman" w:eastAsia="Times New Roman" w:hAnsi="Times New Roman" w:cs="Times New Roman"/>
          <w:sz w:val="24"/>
          <w:szCs w:val="24"/>
          <w:lang w:eastAsia="pl-PL"/>
        </w:rPr>
      </w:pPr>
    </w:p>
    <w:p w14:paraId="6A19CBA1" w14:textId="77777777" w:rsidR="00813BD0" w:rsidRPr="00D82528" w:rsidRDefault="00813BD0" w:rsidP="00A40A83">
      <w:pPr>
        <w:spacing w:after="0" w:line="240" w:lineRule="auto"/>
        <w:ind w:left="709"/>
        <w:rPr>
          <w:rFonts w:ascii="Times New Roman" w:eastAsia="Times New Roman" w:hAnsi="Times New Roman" w:cs="Times New Roman"/>
          <w:sz w:val="24"/>
          <w:szCs w:val="24"/>
          <w:lang w:eastAsia="pl-PL"/>
        </w:rPr>
      </w:pPr>
    </w:p>
    <w:p w14:paraId="415FCB93" w14:textId="77777777" w:rsidR="006E3EE1" w:rsidRPr="00D82528" w:rsidRDefault="006E3EE1" w:rsidP="00A40A83">
      <w:pPr>
        <w:keepNext/>
        <w:spacing w:before="240" w:after="60" w:line="240" w:lineRule="auto"/>
        <w:ind w:left="709"/>
        <w:outlineLvl w:val="0"/>
        <w:rPr>
          <w:rFonts w:ascii="Times New Roman" w:eastAsia="Times New Roman" w:hAnsi="Times New Roman" w:cs="Times New Roman"/>
          <w:b/>
          <w:bCs/>
          <w:caps/>
          <w:kern w:val="32"/>
          <w:sz w:val="32"/>
          <w:szCs w:val="32"/>
          <w:lang w:eastAsia="pl-PL"/>
        </w:rPr>
      </w:pPr>
      <w:bookmarkStart w:id="2" w:name="_Toc423398331"/>
      <w:r w:rsidRPr="00D82528">
        <w:rPr>
          <w:rFonts w:ascii="Times New Roman" w:eastAsia="Times New Roman" w:hAnsi="Times New Roman" w:cs="Times New Roman"/>
          <w:b/>
          <w:bCs/>
          <w:caps/>
          <w:kern w:val="32"/>
          <w:sz w:val="32"/>
          <w:szCs w:val="32"/>
          <w:lang w:eastAsia="pl-PL"/>
        </w:rPr>
        <w:lastRenderedPageBreak/>
        <w:t xml:space="preserve">2. </w:t>
      </w:r>
      <w:bookmarkEnd w:id="2"/>
      <w:r w:rsidRPr="00D82528">
        <w:rPr>
          <w:rFonts w:ascii="Times New Roman" w:eastAsia="Times New Roman" w:hAnsi="Times New Roman" w:cs="Times New Roman"/>
          <w:b/>
          <w:bCs/>
          <w:caps/>
          <w:kern w:val="32"/>
          <w:sz w:val="32"/>
          <w:szCs w:val="32"/>
          <w:lang w:eastAsia="pl-PL"/>
        </w:rPr>
        <w:t xml:space="preserve">Materiał </w:t>
      </w:r>
    </w:p>
    <w:p w14:paraId="131194A1"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2.1. Ogólne wymagania dotyczące materiałów</w:t>
      </w:r>
    </w:p>
    <w:p w14:paraId="247FB03E"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Ogólne wymagania dotyczące materiałów, ich pozyskiwania i składowania podano w OST D-M-00.00.00 „Wymagania ogólne” pkt 2.</w:t>
      </w:r>
    </w:p>
    <w:p w14:paraId="51990680"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2.2. Rodzaje materiałów</w:t>
      </w:r>
    </w:p>
    <w:p w14:paraId="769B3D61"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Materiałami stosowanymi przy wykonywaniu podbudowy z tłucznia, wg PN-S-96023 [9], są:</w:t>
      </w:r>
    </w:p>
    <w:p w14:paraId="3C8EAD1F" w14:textId="77777777" w:rsidR="006E3EE1" w:rsidRPr="00D82528" w:rsidRDefault="006E3EE1" w:rsidP="00A40A83">
      <w:pPr>
        <w:numPr>
          <w:ilvl w:val="0"/>
          <w:numId w:val="1"/>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kruszywo łamane zwykłe: tłuczeń i kliniec, wg PN-B-11112 [8],</w:t>
      </w:r>
    </w:p>
    <w:p w14:paraId="489453E8" w14:textId="77777777" w:rsidR="006E3EE1" w:rsidRPr="00D82528" w:rsidRDefault="006E3EE1" w:rsidP="00A40A83">
      <w:pPr>
        <w:numPr>
          <w:ilvl w:val="0"/>
          <w:numId w:val="1"/>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 woda do skropienia podczas wałowania i klinowania.</w:t>
      </w:r>
    </w:p>
    <w:p w14:paraId="7D63B65B"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2.3. Wymagania dla kruszyw</w:t>
      </w:r>
    </w:p>
    <w:p w14:paraId="7557C168"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Do wykonania podbudowy należy użyć następujące rodzaje kruszywa, według PN-B-11112 [8]:</w:t>
      </w:r>
    </w:p>
    <w:p w14:paraId="42A3B8D4" w14:textId="77777777" w:rsidR="006E3EE1" w:rsidRPr="00D82528" w:rsidRDefault="006E3EE1" w:rsidP="00A40A83">
      <w:pPr>
        <w:numPr>
          <w:ilvl w:val="0"/>
          <w:numId w:val="1"/>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tłuczeń od </w:t>
      </w:r>
      <w:smartTag w:uri="urn:schemas-microsoft-com:office:smarttags" w:element="metricconverter">
        <w:smartTagPr>
          <w:attr w:name="ProductID" w:val="31,5 mm"/>
        </w:smartTagPr>
        <w:r w:rsidRPr="00D82528">
          <w:rPr>
            <w:rFonts w:ascii="Times New Roman" w:eastAsia="Times New Roman" w:hAnsi="Times New Roman" w:cs="Times New Roman"/>
            <w:sz w:val="24"/>
            <w:szCs w:val="24"/>
            <w:lang w:eastAsia="pl-PL"/>
          </w:rPr>
          <w:t>31,5 mm</w:t>
        </w:r>
      </w:smartTag>
      <w:r w:rsidRPr="00D82528">
        <w:rPr>
          <w:rFonts w:ascii="Times New Roman" w:eastAsia="Times New Roman" w:hAnsi="Times New Roman" w:cs="Times New Roman"/>
          <w:sz w:val="24"/>
          <w:szCs w:val="24"/>
          <w:lang w:eastAsia="pl-PL"/>
        </w:rPr>
        <w:t xml:space="preserve"> do </w:t>
      </w:r>
      <w:smartTag w:uri="urn:schemas-microsoft-com:office:smarttags" w:element="metricconverter">
        <w:smartTagPr>
          <w:attr w:name="ProductID" w:val="63 mm"/>
        </w:smartTagPr>
        <w:r w:rsidRPr="00D82528">
          <w:rPr>
            <w:rFonts w:ascii="Times New Roman" w:eastAsia="Times New Roman" w:hAnsi="Times New Roman" w:cs="Times New Roman"/>
            <w:sz w:val="24"/>
            <w:szCs w:val="24"/>
            <w:lang w:eastAsia="pl-PL"/>
          </w:rPr>
          <w:t>63 mm</w:t>
        </w:r>
      </w:smartTag>
      <w:r w:rsidRPr="00D82528">
        <w:rPr>
          <w:rFonts w:ascii="Times New Roman" w:eastAsia="Times New Roman" w:hAnsi="Times New Roman" w:cs="Times New Roman"/>
          <w:sz w:val="24"/>
          <w:szCs w:val="24"/>
          <w:lang w:eastAsia="pl-PL"/>
        </w:rPr>
        <w:t>,</w:t>
      </w:r>
    </w:p>
    <w:p w14:paraId="1DF67535" w14:textId="77777777" w:rsidR="006E3EE1" w:rsidRPr="00D82528" w:rsidRDefault="006E3EE1" w:rsidP="00A40A83">
      <w:pPr>
        <w:numPr>
          <w:ilvl w:val="0"/>
          <w:numId w:val="1"/>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kliniec od </w:t>
      </w:r>
      <w:smartTag w:uri="urn:schemas-microsoft-com:office:smarttags" w:element="metricconverter">
        <w:smartTagPr>
          <w:attr w:name="ProductID" w:val="20 mm"/>
        </w:smartTagPr>
        <w:r w:rsidRPr="00D82528">
          <w:rPr>
            <w:rFonts w:ascii="Times New Roman" w:eastAsia="Times New Roman" w:hAnsi="Times New Roman" w:cs="Times New Roman"/>
            <w:sz w:val="24"/>
            <w:szCs w:val="24"/>
            <w:lang w:eastAsia="pl-PL"/>
          </w:rPr>
          <w:t>20 mm</w:t>
        </w:r>
      </w:smartTag>
      <w:r w:rsidRPr="00D82528">
        <w:rPr>
          <w:rFonts w:ascii="Times New Roman" w:eastAsia="Times New Roman" w:hAnsi="Times New Roman" w:cs="Times New Roman"/>
          <w:sz w:val="24"/>
          <w:szCs w:val="24"/>
          <w:lang w:eastAsia="pl-PL"/>
        </w:rPr>
        <w:t xml:space="preserve"> do </w:t>
      </w:r>
      <w:smartTag w:uri="urn:schemas-microsoft-com:office:smarttags" w:element="metricconverter">
        <w:smartTagPr>
          <w:attr w:name="ProductID" w:val="31,5 mm"/>
        </w:smartTagPr>
        <w:r w:rsidRPr="00D82528">
          <w:rPr>
            <w:rFonts w:ascii="Times New Roman" w:eastAsia="Times New Roman" w:hAnsi="Times New Roman" w:cs="Times New Roman"/>
            <w:sz w:val="24"/>
            <w:szCs w:val="24"/>
            <w:lang w:eastAsia="pl-PL"/>
          </w:rPr>
          <w:t>31,5 mm</w:t>
        </w:r>
      </w:smartTag>
      <w:r w:rsidRPr="00D82528">
        <w:rPr>
          <w:rFonts w:ascii="Times New Roman" w:eastAsia="Times New Roman" w:hAnsi="Times New Roman" w:cs="Times New Roman"/>
          <w:sz w:val="24"/>
          <w:szCs w:val="24"/>
          <w:lang w:eastAsia="pl-PL"/>
        </w:rPr>
        <w:t>,</w:t>
      </w:r>
    </w:p>
    <w:p w14:paraId="12FB4414" w14:textId="77777777" w:rsidR="006E3EE1" w:rsidRPr="00D82528" w:rsidRDefault="006E3EE1" w:rsidP="00A40A83">
      <w:pPr>
        <w:numPr>
          <w:ilvl w:val="0"/>
          <w:numId w:val="1"/>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kruszywo do klinowania - kliniec od </w:t>
      </w:r>
      <w:smartTag w:uri="urn:schemas-microsoft-com:office:smarttags" w:element="metricconverter">
        <w:smartTagPr>
          <w:attr w:name="ProductID" w:val="4 mm"/>
        </w:smartTagPr>
        <w:r w:rsidRPr="00D82528">
          <w:rPr>
            <w:rFonts w:ascii="Times New Roman" w:eastAsia="Times New Roman" w:hAnsi="Times New Roman" w:cs="Times New Roman"/>
            <w:sz w:val="24"/>
            <w:szCs w:val="24"/>
            <w:lang w:eastAsia="pl-PL"/>
          </w:rPr>
          <w:t>4 mm</w:t>
        </w:r>
      </w:smartTag>
      <w:r w:rsidRPr="00D82528">
        <w:rPr>
          <w:rFonts w:ascii="Times New Roman" w:eastAsia="Times New Roman" w:hAnsi="Times New Roman" w:cs="Times New Roman"/>
          <w:sz w:val="24"/>
          <w:szCs w:val="24"/>
          <w:lang w:eastAsia="pl-PL"/>
        </w:rPr>
        <w:t xml:space="preserve"> do </w:t>
      </w:r>
      <w:smartTag w:uri="urn:schemas-microsoft-com:office:smarttags" w:element="metricconverter">
        <w:smartTagPr>
          <w:attr w:name="ProductID" w:val="20 mm"/>
        </w:smartTagPr>
        <w:r w:rsidRPr="00D82528">
          <w:rPr>
            <w:rFonts w:ascii="Times New Roman" w:eastAsia="Times New Roman" w:hAnsi="Times New Roman" w:cs="Times New Roman"/>
            <w:sz w:val="24"/>
            <w:szCs w:val="24"/>
            <w:lang w:eastAsia="pl-PL"/>
          </w:rPr>
          <w:t>20 mm</w:t>
        </w:r>
      </w:smartTag>
      <w:r w:rsidRPr="00D82528">
        <w:rPr>
          <w:rFonts w:ascii="Times New Roman" w:eastAsia="Times New Roman" w:hAnsi="Times New Roman" w:cs="Times New Roman"/>
          <w:sz w:val="24"/>
          <w:szCs w:val="24"/>
          <w:lang w:eastAsia="pl-PL"/>
        </w:rPr>
        <w:t>.</w:t>
      </w:r>
    </w:p>
    <w:p w14:paraId="4C6F743A" w14:textId="5376F7AB"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In</w:t>
      </w:r>
      <w:r w:rsidR="00D82528">
        <w:rPr>
          <w:rFonts w:ascii="Times New Roman" w:eastAsia="Times New Roman" w:hAnsi="Times New Roman" w:cs="Times New Roman"/>
          <w:sz w:val="24"/>
          <w:szCs w:val="24"/>
          <w:lang w:eastAsia="pl-PL"/>
        </w:rPr>
        <w:t>spektor Nadzoru</w:t>
      </w:r>
      <w:r w:rsidRPr="00D82528">
        <w:rPr>
          <w:rFonts w:ascii="Times New Roman" w:eastAsia="Times New Roman" w:hAnsi="Times New Roman" w:cs="Times New Roman"/>
          <w:sz w:val="24"/>
          <w:szCs w:val="24"/>
          <w:lang w:eastAsia="pl-PL"/>
        </w:rPr>
        <w:t xml:space="preserve"> może dopuścić do wykonania podbudowy inne rodzaje kruszywa, wybrane spośród wymienionych w PN-S-96023 [9], dla których wymagania zostaną określone w STWIORB.</w:t>
      </w:r>
    </w:p>
    <w:p w14:paraId="6ACAC16A"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Jakość kruszywa powinna być zgodna z wymaganiami normy PN-B-11112 [8], określonymi dla:</w:t>
      </w:r>
    </w:p>
    <w:p w14:paraId="7F6AF25F" w14:textId="77777777" w:rsidR="006E3EE1" w:rsidRPr="00D82528" w:rsidRDefault="006E3EE1" w:rsidP="00A40A83">
      <w:pPr>
        <w:numPr>
          <w:ilvl w:val="0"/>
          <w:numId w:val="1"/>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klasy co najmniej II     - dla podbudowy zasadniczej,</w:t>
      </w:r>
    </w:p>
    <w:p w14:paraId="44E111E2"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Do jednowarstwowych podbudów lub podbudowy zasadniczej należy stosować kruszywo gatunku co najmniej 2.</w:t>
      </w:r>
    </w:p>
    <w:p w14:paraId="30920E48" w14:textId="77777777" w:rsidR="00A40A83"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Wymagania dla kruszywa przedstawiono w tablicach 1 i 2 niniejszej specyfikacji</w:t>
      </w:r>
    </w:p>
    <w:p w14:paraId="5945EFD3" w14:textId="6A328E82"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Tablica 1. Wymagania dla tłucznia i klińca, wg PN-B-11112</w:t>
      </w:r>
    </w:p>
    <w:tbl>
      <w:tblPr>
        <w:tblW w:w="8868" w:type="dxa"/>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182"/>
        <w:gridCol w:w="1560"/>
        <w:gridCol w:w="1417"/>
      </w:tblGrid>
      <w:tr w:rsidR="006E3EE1" w:rsidRPr="00D82528" w14:paraId="7A769EBA" w14:textId="77777777" w:rsidTr="00A40A83">
        <w:tc>
          <w:tcPr>
            <w:tcW w:w="709" w:type="dxa"/>
            <w:tcBorders>
              <w:bottom w:val="double" w:sz="6" w:space="0" w:color="auto"/>
            </w:tcBorders>
          </w:tcPr>
          <w:p w14:paraId="6B0E46B2" w14:textId="77777777" w:rsidR="006E3EE1" w:rsidRPr="00A40A83" w:rsidRDefault="006E3EE1" w:rsidP="00A40A83">
            <w:pPr>
              <w:spacing w:before="120" w:after="12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Lp.</w:t>
            </w:r>
          </w:p>
        </w:tc>
        <w:tc>
          <w:tcPr>
            <w:tcW w:w="5182" w:type="dxa"/>
            <w:tcBorders>
              <w:bottom w:val="double" w:sz="6" w:space="0" w:color="auto"/>
            </w:tcBorders>
          </w:tcPr>
          <w:p w14:paraId="1DBAFAB9" w14:textId="77777777" w:rsidR="006E3EE1" w:rsidRPr="00A40A83" w:rsidRDefault="006E3EE1" w:rsidP="00A40A83">
            <w:pPr>
              <w:spacing w:before="120" w:after="120" w:line="240" w:lineRule="auto"/>
              <w:ind w:left="709"/>
              <w:jc w:val="center"/>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Właściwości</w:t>
            </w:r>
          </w:p>
        </w:tc>
        <w:tc>
          <w:tcPr>
            <w:tcW w:w="1560" w:type="dxa"/>
            <w:tcBorders>
              <w:bottom w:val="double" w:sz="6" w:space="0" w:color="auto"/>
            </w:tcBorders>
          </w:tcPr>
          <w:p w14:paraId="29315FF4" w14:textId="77777777" w:rsidR="006E3EE1" w:rsidRPr="00A40A83" w:rsidRDefault="006E3EE1" w:rsidP="00A40A83">
            <w:pPr>
              <w:spacing w:before="120" w:after="120" w:line="240" w:lineRule="auto"/>
              <w:rPr>
                <w:rFonts w:ascii="Times New Roman" w:eastAsia="Times New Roman" w:hAnsi="Times New Roman" w:cs="Times New Roman"/>
                <w:bCs/>
                <w:sz w:val="20"/>
                <w:szCs w:val="20"/>
                <w:lang w:eastAsia="pl-PL"/>
              </w:rPr>
            </w:pPr>
            <w:r w:rsidRPr="00A40A83">
              <w:rPr>
                <w:rFonts w:ascii="Times New Roman" w:eastAsia="Times New Roman" w:hAnsi="Times New Roman" w:cs="Times New Roman"/>
                <w:bCs/>
                <w:sz w:val="20"/>
                <w:szCs w:val="20"/>
                <w:lang w:eastAsia="pl-PL"/>
              </w:rPr>
              <w:t>Klasa II</w:t>
            </w:r>
          </w:p>
        </w:tc>
        <w:tc>
          <w:tcPr>
            <w:tcW w:w="1417" w:type="dxa"/>
            <w:tcBorders>
              <w:bottom w:val="double" w:sz="6" w:space="0" w:color="auto"/>
            </w:tcBorders>
          </w:tcPr>
          <w:p w14:paraId="663AD7D3" w14:textId="77777777" w:rsidR="006E3EE1" w:rsidRPr="00A40A83" w:rsidRDefault="006E3EE1" w:rsidP="00A40A83">
            <w:pPr>
              <w:spacing w:before="120" w:after="12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Klasa III</w:t>
            </w:r>
          </w:p>
        </w:tc>
      </w:tr>
      <w:tr w:rsidR="006E3EE1" w:rsidRPr="00D82528" w14:paraId="73B0BF22" w14:textId="77777777" w:rsidTr="00A40A83">
        <w:tc>
          <w:tcPr>
            <w:tcW w:w="709" w:type="dxa"/>
            <w:tcBorders>
              <w:top w:val="nil"/>
            </w:tcBorders>
          </w:tcPr>
          <w:p w14:paraId="33B4470C"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1</w:t>
            </w:r>
          </w:p>
        </w:tc>
        <w:tc>
          <w:tcPr>
            <w:tcW w:w="5182" w:type="dxa"/>
            <w:tcBorders>
              <w:top w:val="nil"/>
            </w:tcBorders>
          </w:tcPr>
          <w:p w14:paraId="26166C68"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Ścieralność w bębnie Los Angeles, wg PN-B-06714-42 [7]:</w:t>
            </w:r>
          </w:p>
          <w:p w14:paraId="4386A3D6" w14:textId="77777777" w:rsid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a) po pełnej liczbie obrotów, % ubytku masy, nie więcej niż:</w:t>
            </w:r>
            <w:r w:rsidR="00A40A83">
              <w:rPr>
                <w:rFonts w:ascii="Times New Roman" w:eastAsia="Times New Roman" w:hAnsi="Times New Roman" w:cs="Times New Roman"/>
                <w:sz w:val="20"/>
                <w:szCs w:val="20"/>
                <w:lang w:eastAsia="pl-PL"/>
              </w:rPr>
              <w:t xml:space="preserve">    - </w:t>
            </w:r>
            <w:r w:rsidRPr="00A40A83">
              <w:rPr>
                <w:rFonts w:ascii="Times New Roman" w:eastAsia="Times New Roman" w:hAnsi="Times New Roman" w:cs="Times New Roman"/>
                <w:sz w:val="20"/>
                <w:szCs w:val="20"/>
                <w:lang w:eastAsia="pl-PL"/>
              </w:rPr>
              <w:t xml:space="preserve"> w tłuczniu</w:t>
            </w:r>
          </w:p>
          <w:p w14:paraId="7B023C9E" w14:textId="4E19816A"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 w klińcu</w:t>
            </w:r>
          </w:p>
          <w:p w14:paraId="1FDC66B9"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b) po 1/5 pełnej liczby obrotów, % ubytku masy w stosunku</w:t>
            </w:r>
          </w:p>
          <w:p w14:paraId="655D7B48" w14:textId="38801705"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 xml:space="preserve">do ubytku masy po pełnej liczbie obrotów, nie więcej niż:  </w:t>
            </w:r>
          </w:p>
        </w:tc>
        <w:tc>
          <w:tcPr>
            <w:tcW w:w="1560" w:type="dxa"/>
            <w:tcBorders>
              <w:top w:val="nil"/>
            </w:tcBorders>
          </w:tcPr>
          <w:p w14:paraId="4E4F5C36" w14:textId="77777777" w:rsidR="006E3EE1" w:rsidRPr="00A40A83" w:rsidRDefault="006E3EE1" w:rsidP="00A40A83">
            <w:pPr>
              <w:spacing w:after="0" w:line="240" w:lineRule="auto"/>
              <w:ind w:left="709"/>
              <w:jc w:val="center"/>
              <w:rPr>
                <w:rFonts w:ascii="Times New Roman" w:eastAsia="Times New Roman" w:hAnsi="Times New Roman" w:cs="Times New Roman"/>
                <w:bCs/>
                <w:sz w:val="20"/>
                <w:szCs w:val="20"/>
                <w:lang w:eastAsia="pl-PL"/>
              </w:rPr>
            </w:pPr>
          </w:p>
          <w:p w14:paraId="55916267" w14:textId="77777777" w:rsidR="006E3EE1" w:rsidRPr="00A40A83" w:rsidRDefault="006E3EE1" w:rsidP="00A40A83">
            <w:pPr>
              <w:spacing w:after="0" w:line="240" w:lineRule="auto"/>
              <w:ind w:left="709"/>
              <w:jc w:val="center"/>
              <w:rPr>
                <w:rFonts w:ascii="Times New Roman" w:eastAsia="Times New Roman" w:hAnsi="Times New Roman" w:cs="Times New Roman"/>
                <w:bCs/>
                <w:sz w:val="20"/>
                <w:szCs w:val="20"/>
                <w:lang w:eastAsia="pl-PL"/>
              </w:rPr>
            </w:pPr>
          </w:p>
          <w:p w14:paraId="4578DAA4" w14:textId="77777777" w:rsidR="006E3EE1" w:rsidRPr="00A40A83" w:rsidRDefault="006E3EE1" w:rsidP="00A40A83">
            <w:pPr>
              <w:spacing w:after="0" w:line="240" w:lineRule="auto"/>
              <w:rPr>
                <w:rFonts w:ascii="Times New Roman" w:eastAsia="Times New Roman" w:hAnsi="Times New Roman" w:cs="Times New Roman"/>
                <w:bCs/>
                <w:sz w:val="20"/>
                <w:szCs w:val="20"/>
                <w:lang w:eastAsia="pl-PL"/>
              </w:rPr>
            </w:pPr>
            <w:r w:rsidRPr="00A40A83">
              <w:rPr>
                <w:rFonts w:ascii="Times New Roman" w:eastAsia="Times New Roman" w:hAnsi="Times New Roman" w:cs="Times New Roman"/>
                <w:bCs/>
                <w:sz w:val="20"/>
                <w:szCs w:val="20"/>
                <w:lang w:eastAsia="pl-PL"/>
              </w:rPr>
              <w:t>35</w:t>
            </w:r>
          </w:p>
          <w:p w14:paraId="48689B85" w14:textId="77777777" w:rsidR="006E3EE1" w:rsidRPr="00A40A83" w:rsidRDefault="006E3EE1" w:rsidP="00A40A83">
            <w:pPr>
              <w:spacing w:after="0" w:line="240" w:lineRule="auto"/>
              <w:rPr>
                <w:rFonts w:ascii="Times New Roman" w:eastAsia="Times New Roman" w:hAnsi="Times New Roman" w:cs="Times New Roman"/>
                <w:bCs/>
                <w:sz w:val="20"/>
                <w:szCs w:val="20"/>
                <w:lang w:eastAsia="pl-PL"/>
              </w:rPr>
            </w:pPr>
            <w:r w:rsidRPr="00A40A83">
              <w:rPr>
                <w:rFonts w:ascii="Times New Roman" w:eastAsia="Times New Roman" w:hAnsi="Times New Roman" w:cs="Times New Roman"/>
                <w:bCs/>
                <w:sz w:val="20"/>
                <w:szCs w:val="20"/>
                <w:lang w:eastAsia="pl-PL"/>
              </w:rPr>
              <w:t>40</w:t>
            </w:r>
          </w:p>
          <w:p w14:paraId="70232444" w14:textId="77777777" w:rsidR="006E3EE1" w:rsidRPr="00A40A83" w:rsidRDefault="006E3EE1" w:rsidP="00A40A83">
            <w:pPr>
              <w:spacing w:after="0" w:line="240" w:lineRule="auto"/>
              <w:ind w:left="709"/>
              <w:jc w:val="center"/>
              <w:rPr>
                <w:rFonts w:ascii="Times New Roman" w:eastAsia="Times New Roman" w:hAnsi="Times New Roman" w:cs="Times New Roman"/>
                <w:bCs/>
                <w:sz w:val="20"/>
                <w:szCs w:val="20"/>
                <w:lang w:eastAsia="pl-PL"/>
              </w:rPr>
            </w:pPr>
          </w:p>
          <w:p w14:paraId="0F333493" w14:textId="77777777" w:rsidR="006E3EE1" w:rsidRPr="00A40A83" w:rsidRDefault="006E3EE1" w:rsidP="00A40A83">
            <w:pPr>
              <w:spacing w:after="0" w:line="240" w:lineRule="auto"/>
              <w:rPr>
                <w:rFonts w:ascii="Times New Roman" w:eastAsia="Times New Roman" w:hAnsi="Times New Roman" w:cs="Times New Roman"/>
                <w:bCs/>
                <w:sz w:val="20"/>
                <w:szCs w:val="20"/>
                <w:lang w:eastAsia="pl-PL"/>
              </w:rPr>
            </w:pPr>
            <w:r w:rsidRPr="00A40A83">
              <w:rPr>
                <w:rFonts w:ascii="Times New Roman" w:eastAsia="Times New Roman" w:hAnsi="Times New Roman" w:cs="Times New Roman"/>
                <w:bCs/>
                <w:sz w:val="20"/>
                <w:szCs w:val="20"/>
                <w:lang w:eastAsia="pl-PL"/>
              </w:rPr>
              <w:t>30</w:t>
            </w:r>
          </w:p>
        </w:tc>
        <w:tc>
          <w:tcPr>
            <w:tcW w:w="1417" w:type="dxa"/>
            <w:tcBorders>
              <w:top w:val="nil"/>
            </w:tcBorders>
          </w:tcPr>
          <w:p w14:paraId="3A74A639" w14:textId="77777777" w:rsidR="006E3EE1" w:rsidRPr="00A40A83" w:rsidRDefault="006E3EE1" w:rsidP="00A40A83">
            <w:pPr>
              <w:spacing w:after="0" w:line="240" w:lineRule="auto"/>
              <w:ind w:left="709"/>
              <w:jc w:val="center"/>
              <w:rPr>
                <w:rFonts w:ascii="Times New Roman" w:eastAsia="Times New Roman" w:hAnsi="Times New Roman" w:cs="Times New Roman"/>
                <w:sz w:val="20"/>
                <w:szCs w:val="20"/>
                <w:lang w:eastAsia="pl-PL"/>
              </w:rPr>
            </w:pPr>
          </w:p>
          <w:p w14:paraId="2819A2BD" w14:textId="77777777" w:rsidR="006E3EE1" w:rsidRPr="00A40A83" w:rsidRDefault="006E3EE1" w:rsidP="00A40A83">
            <w:pPr>
              <w:spacing w:after="0" w:line="240" w:lineRule="auto"/>
              <w:ind w:left="709"/>
              <w:jc w:val="center"/>
              <w:rPr>
                <w:rFonts w:ascii="Times New Roman" w:eastAsia="Times New Roman" w:hAnsi="Times New Roman" w:cs="Times New Roman"/>
                <w:sz w:val="20"/>
                <w:szCs w:val="20"/>
                <w:lang w:eastAsia="pl-PL"/>
              </w:rPr>
            </w:pPr>
          </w:p>
          <w:p w14:paraId="7A84F1D1"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50</w:t>
            </w:r>
          </w:p>
          <w:p w14:paraId="593DD1DD"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50</w:t>
            </w:r>
          </w:p>
          <w:p w14:paraId="33A8FDB4" w14:textId="77777777" w:rsidR="006E3EE1" w:rsidRPr="00A40A83" w:rsidRDefault="006E3EE1" w:rsidP="00A40A83">
            <w:pPr>
              <w:spacing w:after="0" w:line="240" w:lineRule="auto"/>
              <w:ind w:left="709"/>
              <w:jc w:val="center"/>
              <w:rPr>
                <w:rFonts w:ascii="Times New Roman" w:eastAsia="Times New Roman" w:hAnsi="Times New Roman" w:cs="Times New Roman"/>
                <w:sz w:val="20"/>
                <w:szCs w:val="20"/>
                <w:lang w:eastAsia="pl-PL"/>
              </w:rPr>
            </w:pPr>
          </w:p>
          <w:p w14:paraId="7519A3E0"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35</w:t>
            </w:r>
          </w:p>
        </w:tc>
      </w:tr>
      <w:tr w:rsidR="006E3EE1" w:rsidRPr="00D82528" w14:paraId="58238F34" w14:textId="77777777" w:rsidTr="00A40A83">
        <w:tc>
          <w:tcPr>
            <w:tcW w:w="709" w:type="dxa"/>
          </w:tcPr>
          <w:p w14:paraId="5EA177CE"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2</w:t>
            </w:r>
          </w:p>
        </w:tc>
        <w:tc>
          <w:tcPr>
            <w:tcW w:w="5182" w:type="dxa"/>
          </w:tcPr>
          <w:p w14:paraId="737E0ECC"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Nasiąkliwość, wg PN-B-06714-18 [4], % m/m, nie więcej niż:</w:t>
            </w:r>
          </w:p>
          <w:p w14:paraId="460A96B4"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a) dla kruszyw ze skał magmowych i przeobrażonych</w:t>
            </w:r>
          </w:p>
          <w:p w14:paraId="1F445521"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b) dla kruszyw ze skał osadowych</w:t>
            </w:r>
          </w:p>
        </w:tc>
        <w:tc>
          <w:tcPr>
            <w:tcW w:w="1560" w:type="dxa"/>
          </w:tcPr>
          <w:p w14:paraId="1B828F62" w14:textId="77777777" w:rsidR="006E3EE1" w:rsidRPr="00A40A83" w:rsidRDefault="006E3EE1" w:rsidP="00A40A83">
            <w:pPr>
              <w:spacing w:after="0" w:line="240" w:lineRule="auto"/>
              <w:ind w:left="709"/>
              <w:jc w:val="center"/>
              <w:rPr>
                <w:rFonts w:ascii="Times New Roman" w:eastAsia="Times New Roman" w:hAnsi="Times New Roman" w:cs="Times New Roman"/>
                <w:bCs/>
                <w:sz w:val="20"/>
                <w:szCs w:val="20"/>
                <w:lang w:eastAsia="pl-PL"/>
              </w:rPr>
            </w:pPr>
          </w:p>
          <w:p w14:paraId="351A344C" w14:textId="77777777" w:rsidR="006E3EE1" w:rsidRPr="00A40A83" w:rsidRDefault="006E3EE1" w:rsidP="00A40A83">
            <w:pPr>
              <w:spacing w:after="0" w:line="240" w:lineRule="auto"/>
              <w:rPr>
                <w:rFonts w:ascii="Times New Roman" w:eastAsia="Times New Roman" w:hAnsi="Times New Roman" w:cs="Times New Roman"/>
                <w:bCs/>
                <w:sz w:val="20"/>
                <w:szCs w:val="20"/>
                <w:lang w:eastAsia="pl-PL"/>
              </w:rPr>
            </w:pPr>
            <w:r w:rsidRPr="00A40A83">
              <w:rPr>
                <w:rFonts w:ascii="Times New Roman" w:eastAsia="Times New Roman" w:hAnsi="Times New Roman" w:cs="Times New Roman"/>
                <w:bCs/>
                <w:sz w:val="20"/>
                <w:szCs w:val="20"/>
                <w:lang w:eastAsia="pl-PL"/>
              </w:rPr>
              <w:t>2,0</w:t>
            </w:r>
          </w:p>
          <w:p w14:paraId="49551C0E" w14:textId="77777777" w:rsidR="006E3EE1" w:rsidRPr="00A40A83" w:rsidRDefault="006E3EE1" w:rsidP="00A40A83">
            <w:pPr>
              <w:spacing w:after="0" w:line="240" w:lineRule="auto"/>
              <w:rPr>
                <w:rFonts w:ascii="Times New Roman" w:eastAsia="Times New Roman" w:hAnsi="Times New Roman" w:cs="Times New Roman"/>
                <w:bCs/>
                <w:sz w:val="20"/>
                <w:szCs w:val="20"/>
                <w:lang w:eastAsia="pl-PL"/>
              </w:rPr>
            </w:pPr>
            <w:r w:rsidRPr="00A40A83">
              <w:rPr>
                <w:rFonts w:ascii="Times New Roman" w:eastAsia="Times New Roman" w:hAnsi="Times New Roman" w:cs="Times New Roman"/>
                <w:bCs/>
                <w:sz w:val="20"/>
                <w:szCs w:val="20"/>
                <w:lang w:eastAsia="pl-PL"/>
              </w:rPr>
              <w:t>3,0</w:t>
            </w:r>
          </w:p>
        </w:tc>
        <w:tc>
          <w:tcPr>
            <w:tcW w:w="1417" w:type="dxa"/>
          </w:tcPr>
          <w:p w14:paraId="612213C2" w14:textId="77777777" w:rsidR="006E3EE1" w:rsidRPr="00A40A83" w:rsidRDefault="006E3EE1" w:rsidP="00A40A83">
            <w:pPr>
              <w:spacing w:after="0" w:line="240" w:lineRule="auto"/>
              <w:ind w:left="709"/>
              <w:jc w:val="center"/>
              <w:rPr>
                <w:rFonts w:ascii="Times New Roman" w:eastAsia="Times New Roman" w:hAnsi="Times New Roman" w:cs="Times New Roman"/>
                <w:sz w:val="20"/>
                <w:szCs w:val="20"/>
                <w:lang w:eastAsia="pl-PL"/>
              </w:rPr>
            </w:pPr>
          </w:p>
          <w:p w14:paraId="4F4B2C3F"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3,0</w:t>
            </w:r>
          </w:p>
          <w:p w14:paraId="11ED5005"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5,0</w:t>
            </w:r>
          </w:p>
        </w:tc>
      </w:tr>
      <w:tr w:rsidR="006E3EE1" w:rsidRPr="00D82528" w14:paraId="3D7D05AF" w14:textId="77777777" w:rsidTr="00A40A83">
        <w:tc>
          <w:tcPr>
            <w:tcW w:w="709" w:type="dxa"/>
          </w:tcPr>
          <w:p w14:paraId="6739B15A"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3</w:t>
            </w:r>
          </w:p>
        </w:tc>
        <w:tc>
          <w:tcPr>
            <w:tcW w:w="5182" w:type="dxa"/>
          </w:tcPr>
          <w:p w14:paraId="2B55C661"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Odporność na działanie mrozu, wg PN-B-06714-19 [5], % ubytku masy, nie więcej niż:</w:t>
            </w:r>
          </w:p>
          <w:p w14:paraId="14A8344F"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a) dla kruszyw ze skał magmowych i przeobrażonych</w:t>
            </w:r>
          </w:p>
          <w:p w14:paraId="13EB6F9A"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b) dla kruszyw ze skał osadowych</w:t>
            </w:r>
          </w:p>
        </w:tc>
        <w:tc>
          <w:tcPr>
            <w:tcW w:w="1560" w:type="dxa"/>
          </w:tcPr>
          <w:p w14:paraId="4A252390" w14:textId="77777777" w:rsidR="006E3EE1" w:rsidRPr="00A40A83" w:rsidRDefault="006E3EE1" w:rsidP="00A40A83">
            <w:pPr>
              <w:spacing w:after="0" w:line="240" w:lineRule="auto"/>
              <w:ind w:left="709"/>
              <w:jc w:val="center"/>
              <w:rPr>
                <w:rFonts w:ascii="Times New Roman" w:eastAsia="Times New Roman" w:hAnsi="Times New Roman" w:cs="Times New Roman"/>
                <w:bCs/>
                <w:sz w:val="20"/>
                <w:szCs w:val="20"/>
                <w:lang w:eastAsia="pl-PL"/>
              </w:rPr>
            </w:pPr>
          </w:p>
          <w:p w14:paraId="07266791" w14:textId="77777777" w:rsidR="00A40A83" w:rsidRDefault="00A40A83" w:rsidP="00A40A83">
            <w:pPr>
              <w:spacing w:after="0" w:line="240" w:lineRule="auto"/>
              <w:rPr>
                <w:rFonts w:ascii="Times New Roman" w:eastAsia="Times New Roman" w:hAnsi="Times New Roman" w:cs="Times New Roman"/>
                <w:bCs/>
                <w:sz w:val="20"/>
                <w:szCs w:val="20"/>
                <w:lang w:eastAsia="pl-PL"/>
              </w:rPr>
            </w:pPr>
          </w:p>
          <w:p w14:paraId="519A7E55" w14:textId="24FFDF4E" w:rsidR="006E3EE1" w:rsidRPr="00A40A83" w:rsidRDefault="006E3EE1" w:rsidP="00A40A83">
            <w:pPr>
              <w:spacing w:after="0" w:line="240" w:lineRule="auto"/>
              <w:rPr>
                <w:rFonts w:ascii="Times New Roman" w:eastAsia="Times New Roman" w:hAnsi="Times New Roman" w:cs="Times New Roman"/>
                <w:bCs/>
                <w:sz w:val="20"/>
                <w:szCs w:val="20"/>
                <w:lang w:eastAsia="pl-PL"/>
              </w:rPr>
            </w:pPr>
            <w:r w:rsidRPr="00A40A83">
              <w:rPr>
                <w:rFonts w:ascii="Times New Roman" w:eastAsia="Times New Roman" w:hAnsi="Times New Roman" w:cs="Times New Roman"/>
                <w:bCs/>
                <w:sz w:val="20"/>
                <w:szCs w:val="20"/>
                <w:lang w:eastAsia="pl-PL"/>
              </w:rPr>
              <w:t>4,0</w:t>
            </w:r>
          </w:p>
          <w:p w14:paraId="2EED5873" w14:textId="77777777" w:rsidR="006E3EE1" w:rsidRPr="00A40A83" w:rsidRDefault="006E3EE1" w:rsidP="00A40A83">
            <w:pPr>
              <w:spacing w:after="0" w:line="240" w:lineRule="auto"/>
              <w:rPr>
                <w:rFonts w:ascii="Times New Roman" w:eastAsia="Times New Roman" w:hAnsi="Times New Roman" w:cs="Times New Roman"/>
                <w:bCs/>
                <w:sz w:val="20"/>
                <w:szCs w:val="20"/>
                <w:lang w:eastAsia="pl-PL"/>
              </w:rPr>
            </w:pPr>
            <w:r w:rsidRPr="00A40A83">
              <w:rPr>
                <w:rFonts w:ascii="Times New Roman" w:eastAsia="Times New Roman" w:hAnsi="Times New Roman" w:cs="Times New Roman"/>
                <w:bCs/>
                <w:sz w:val="20"/>
                <w:szCs w:val="20"/>
                <w:lang w:eastAsia="pl-PL"/>
              </w:rPr>
              <w:t>5,0</w:t>
            </w:r>
          </w:p>
        </w:tc>
        <w:tc>
          <w:tcPr>
            <w:tcW w:w="1417" w:type="dxa"/>
          </w:tcPr>
          <w:p w14:paraId="6266F7E3" w14:textId="77777777" w:rsidR="006E3EE1" w:rsidRPr="00A40A83" w:rsidRDefault="006E3EE1" w:rsidP="00A40A83">
            <w:pPr>
              <w:spacing w:after="0" w:line="240" w:lineRule="auto"/>
              <w:ind w:left="709"/>
              <w:jc w:val="center"/>
              <w:rPr>
                <w:rFonts w:ascii="Times New Roman" w:eastAsia="Times New Roman" w:hAnsi="Times New Roman" w:cs="Times New Roman"/>
                <w:sz w:val="20"/>
                <w:szCs w:val="20"/>
                <w:lang w:eastAsia="pl-PL"/>
              </w:rPr>
            </w:pPr>
          </w:p>
          <w:p w14:paraId="23409D94" w14:textId="77777777" w:rsidR="006E3EE1" w:rsidRPr="00A40A83" w:rsidRDefault="006E3EE1" w:rsidP="00A40A83">
            <w:pPr>
              <w:spacing w:after="0" w:line="240" w:lineRule="auto"/>
              <w:ind w:left="709"/>
              <w:jc w:val="center"/>
              <w:rPr>
                <w:rFonts w:ascii="Times New Roman" w:eastAsia="Times New Roman" w:hAnsi="Times New Roman" w:cs="Times New Roman"/>
                <w:sz w:val="20"/>
                <w:szCs w:val="20"/>
                <w:lang w:eastAsia="pl-PL"/>
              </w:rPr>
            </w:pPr>
          </w:p>
          <w:p w14:paraId="00E9EFA4"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10,0</w:t>
            </w:r>
          </w:p>
          <w:p w14:paraId="299B14E3"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10,0</w:t>
            </w:r>
          </w:p>
        </w:tc>
      </w:tr>
      <w:tr w:rsidR="006E3EE1" w:rsidRPr="00D82528" w14:paraId="623C4D70" w14:textId="77777777" w:rsidTr="00A40A83">
        <w:tc>
          <w:tcPr>
            <w:tcW w:w="709" w:type="dxa"/>
          </w:tcPr>
          <w:p w14:paraId="004FD8EA"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4</w:t>
            </w:r>
          </w:p>
        </w:tc>
        <w:tc>
          <w:tcPr>
            <w:tcW w:w="5182" w:type="dxa"/>
          </w:tcPr>
          <w:p w14:paraId="12414BFF"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Odporność na działanie mrozu według zmodyfikowanej metody bezpośredniej, wg PN-B-06714-19 [5] i PN-B-11112 [8], % ubytku masy, nie więcej niż:</w:t>
            </w:r>
          </w:p>
          <w:p w14:paraId="6E0D37F2"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 w klińcu</w:t>
            </w:r>
          </w:p>
          <w:p w14:paraId="0C2843F9"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 w tłuczniu</w:t>
            </w:r>
          </w:p>
        </w:tc>
        <w:tc>
          <w:tcPr>
            <w:tcW w:w="1560" w:type="dxa"/>
          </w:tcPr>
          <w:p w14:paraId="7FC45349" w14:textId="77777777" w:rsidR="006E3EE1" w:rsidRPr="00A40A83" w:rsidRDefault="006E3EE1" w:rsidP="00A40A83">
            <w:pPr>
              <w:spacing w:after="0" w:line="240" w:lineRule="auto"/>
              <w:ind w:left="709"/>
              <w:jc w:val="center"/>
              <w:rPr>
                <w:rFonts w:ascii="Times New Roman" w:eastAsia="Times New Roman" w:hAnsi="Times New Roman" w:cs="Times New Roman"/>
                <w:b/>
                <w:sz w:val="20"/>
                <w:szCs w:val="20"/>
                <w:lang w:eastAsia="pl-PL"/>
              </w:rPr>
            </w:pPr>
          </w:p>
          <w:p w14:paraId="29BC21B0" w14:textId="77777777" w:rsidR="006E3EE1" w:rsidRPr="00A40A83" w:rsidRDefault="006E3EE1" w:rsidP="00A40A83">
            <w:pPr>
              <w:spacing w:after="0" w:line="240" w:lineRule="auto"/>
              <w:ind w:left="709"/>
              <w:jc w:val="center"/>
              <w:rPr>
                <w:rFonts w:ascii="Times New Roman" w:eastAsia="Times New Roman" w:hAnsi="Times New Roman" w:cs="Times New Roman"/>
                <w:b/>
                <w:sz w:val="20"/>
                <w:szCs w:val="20"/>
                <w:lang w:eastAsia="pl-PL"/>
              </w:rPr>
            </w:pPr>
          </w:p>
          <w:p w14:paraId="316534AE" w14:textId="77777777" w:rsidR="006E3EE1" w:rsidRPr="00A40A83" w:rsidRDefault="006E3EE1" w:rsidP="00A40A83">
            <w:pPr>
              <w:spacing w:after="0" w:line="240" w:lineRule="auto"/>
              <w:ind w:left="709"/>
              <w:jc w:val="center"/>
              <w:rPr>
                <w:rFonts w:ascii="Times New Roman" w:eastAsia="Times New Roman" w:hAnsi="Times New Roman" w:cs="Times New Roman"/>
                <w:b/>
                <w:sz w:val="20"/>
                <w:szCs w:val="20"/>
                <w:lang w:eastAsia="pl-PL"/>
              </w:rPr>
            </w:pPr>
          </w:p>
          <w:p w14:paraId="12A2C597" w14:textId="77777777" w:rsidR="006E3EE1" w:rsidRPr="00A40A83" w:rsidRDefault="006E3EE1" w:rsidP="00A40A83">
            <w:pPr>
              <w:spacing w:after="0" w:line="240" w:lineRule="auto"/>
              <w:rPr>
                <w:rFonts w:ascii="Times New Roman" w:eastAsia="Times New Roman" w:hAnsi="Times New Roman" w:cs="Times New Roman"/>
                <w:bCs/>
                <w:sz w:val="20"/>
                <w:szCs w:val="20"/>
                <w:lang w:eastAsia="pl-PL"/>
              </w:rPr>
            </w:pPr>
            <w:r w:rsidRPr="00A40A83">
              <w:rPr>
                <w:rFonts w:ascii="Times New Roman" w:eastAsia="Times New Roman" w:hAnsi="Times New Roman" w:cs="Times New Roman"/>
                <w:bCs/>
                <w:sz w:val="20"/>
                <w:szCs w:val="20"/>
                <w:lang w:eastAsia="pl-PL"/>
              </w:rPr>
              <w:t>30</w:t>
            </w:r>
          </w:p>
          <w:p w14:paraId="0982E52F" w14:textId="77777777" w:rsidR="006E3EE1" w:rsidRPr="00A40A83" w:rsidRDefault="006E3EE1" w:rsidP="00A40A83">
            <w:pPr>
              <w:spacing w:after="0" w:line="240" w:lineRule="auto"/>
              <w:rPr>
                <w:rFonts w:ascii="Times New Roman" w:eastAsia="Times New Roman" w:hAnsi="Times New Roman" w:cs="Times New Roman"/>
                <w:b/>
                <w:sz w:val="20"/>
                <w:szCs w:val="20"/>
                <w:lang w:eastAsia="pl-PL"/>
              </w:rPr>
            </w:pPr>
            <w:r w:rsidRPr="00A40A83">
              <w:rPr>
                <w:rFonts w:ascii="Times New Roman" w:eastAsia="Times New Roman" w:hAnsi="Times New Roman" w:cs="Times New Roman"/>
                <w:bCs/>
                <w:sz w:val="20"/>
                <w:szCs w:val="20"/>
                <w:lang w:eastAsia="pl-PL"/>
              </w:rPr>
              <w:t>nie bada się</w:t>
            </w:r>
          </w:p>
        </w:tc>
        <w:tc>
          <w:tcPr>
            <w:tcW w:w="1417" w:type="dxa"/>
          </w:tcPr>
          <w:p w14:paraId="7D9EFFCE" w14:textId="77777777" w:rsidR="006E3EE1" w:rsidRPr="00A40A83" w:rsidRDefault="006E3EE1" w:rsidP="00A40A83">
            <w:pPr>
              <w:spacing w:after="0" w:line="240" w:lineRule="auto"/>
              <w:ind w:left="709"/>
              <w:jc w:val="center"/>
              <w:rPr>
                <w:rFonts w:ascii="Times New Roman" w:eastAsia="Times New Roman" w:hAnsi="Times New Roman" w:cs="Times New Roman"/>
                <w:sz w:val="20"/>
                <w:szCs w:val="20"/>
                <w:lang w:eastAsia="pl-PL"/>
              </w:rPr>
            </w:pPr>
          </w:p>
          <w:p w14:paraId="57C889D4" w14:textId="77777777" w:rsidR="006E3EE1" w:rsidRPr="00A40A83" w:rsidRDefault="006E3EE1" w:rsidP="00A40A83">
            <w:pPr>
              <w:spacing w:after="0" w:line="240" w:lineRule="auto"/>
              <w:ind w:left="709"/>
              <w:jc w:val="center"/>
              <w:rPr>
                <w:rFonts w:ascii="Times New Roman" w:eastAsia="Times New Roman" w:hAnsi="Times New Roman" w:cs="Times New Roman"/>
                <w:sz w:val="20"/>
                <w:szCs w:val="20"/>
                <w:lang w:eastAsia="pl-PL"/>
              </w:rPr>
            </w:pPr>
          </w:p>
          <w:p w14:paraId="435C7DEE" w14:textId="77777777" w:rsidR="006E3EE1" w:rsidRPr="00A40A83" w:rsidRDefault="006E3EE1" w:rsidP="00A40A83">
            <w:pPr>
              <w:spacing w:after="0" w:line="240" w:lineRule="auto"/>
              <w:ind w:left="709"/>
              <w:jc w:val="center"/>
              <w:rPr>
                <w:rFonts w:ascii="Times New Roman" w:eastAsia="Times New Roman" w:hAnsi="Times New Roman" w:cs="Times New Roman"/>
                <w:sz w:val="20"/>
                <w:szCs w:val="20"/>
                <w:lang w:eastAsia="pl-PL"/>
              </w:rPr>
            </w:pPr>
          </w:p>
          <w:p w14:paraId="4E57ED39" w14:textId="77777777" w:rsidR="006E3EE1" w:rsidRPr="00A40A83" w:rsidRDefault="006E3EE1" w:rsidP="00A40A83">
            <w:pPr>
              <w:spacing w:before="60"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nie bada się</w:t>
            </w:r>
          </w:p>
          <w:p w14:paraId="1E3494C7"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nie bada się</w:t>
            </w:r>
          </w:p>
        </w:tc>
      </w:tr>
    </w:tbl>
    <w:p w14:paraId="5EEC10FC" w14:textId="77777777" w:rsidR="00813BD0" w:rsidRPr="00D82528" w:rsidRDefault="00813BD0" w:rsidP="00A40A83">
      <w:pPr>
        <w:spacing w:after="0" w:line="240" w:lineRule="auto"/>
        <w:ind w:left="709"/>
        <w:rPr>
          <w:rFonts w:ascii="Times New Roman" w:eastAsia="Times New Roman" w:hAnsi="Times New Roman" w:cs="Times New Roman"/>
          <w:sz w:val="24"/>
          <w:szCs w:val="24"/>
          <w:lang w:eastAsia="pl-PL"/>
        </w:rPr>
      </w:pPr>
    </w:p>
    <w:p w14:paraId="5EE712D5" w14:textId="77777777" w:rsidR="00A40A83" w:rsidRDefault="00A40A83" w:rsidP="00A40A83">
      <w:pPr>
        <w:spacing w:after="0" w:line="240" w:lineRule="auto"/>
        <w:ind w:left="709"/>
        <w:rPr>
          <w:rFonts w:ascii="Times New Roman" w:eastAsia="Times New Roman" w:hAnsi="Times New Roman" w:cs="Times New Roman"/>
          <w:sz w:val="24"/>
          <w:szCs w:val="24"/>
          <w:lang w:eastAsia="pl-PL"/>
        </w:rPr>
      </w:pPr>
    </w:p>
    <w:p w14:paraId="3E73B5E7" w14:textId="6E3AC010"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lastRenderedPageBreak/>
        <w:t>Tablica 2. Wymagania dla tłucznia i klińca w zależności od warstwy podbudowy</w:t>
      </w:r>
    </w:p>
    <w:p w14:paraId="78162E30" w14:textId="77777777" w:rsidR="006E3EE1" w:rsidRPr="00D82528" w:rsidRDefault="006E3EE1" w:rsidP="00A40A83">
      <w:pPr>
        <w:spacing w:after="12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                 tłuczniowej, wg PN-B-11112 [8]</w:t>
      </w:r>
    </w:p>
    <w:tbl>
      <w:tblPr>
        <w:tblW w:w="8868" w:type="dxa"/>
        <w:tblInd w:w="559" w:type="dxa"/>
        <w:tblLayout w:type="fixed"/>
        <w:tblCellMar>
          <w:left w:w="70" w:type="dxa"/>
          <w:right w:w="70" w:type="dxa"/>
        </w:tblCellMar>
        <w:tblLook w:val="0000" w:firstRow="0" w:lastRow="0" w:firstColumn="0" w:lastColumn="0" w:noHBand="0" w:noVBand="0"/>
      </w:tblPr>
      <w:tblGrid>
        <w:gridCol w:w="709"/>
        <w:gridCol w:w="4961"/>
        <w:gridCol w:w="1781"/>
        <w:gridCol w:w="1417"/>
      </w:tblGrid>
      <w:tr w:rsidR="006E3EE1" w:rsidRPr="00D82528" w14:paraId="7D445517" w14:textId="77777777" w:rsidTr="00A40A83">
        <w:tc>
          <w:tcPr>
            <w:tcW w:w="709" w:type="dxa"/>
            <w:tcBorders>
              <w:top w:val="single" w:sz="6" w:space="0" w:color="auto"/>
              <w:left w:val="single" w:sz="6" w:space="0" w:color="auto"/>
              <w:bottom w:val="double" w:sz="6" w:space="0" w:color="auto"/>
              <w:right w:val="single" w:sz="6" w:space="0" w:color="auto"/>
            </w:tcBorders>
          </w:tcPr>
          <w:p w14:paraId="05F6EE63" w14:textId="77777777" w:rsidR="006E3EE1" w:rsidRPr="00A40A83" w:rsidRDefault="006E3EE1" w:rsidP="00A40A83">
            <w:pPr>
              <w:spacing w:after="0" w:line="240" w:lineRule="auto"/>
              <w:ind w:left="709"/>
              <w:rPr>
                <w:rFonts w:ascii="Times New Roman" w:eastAsia="Times New Roman" w:hAnsi="Times New Roman" w:cs="Times New Roman"/>
                <w:sz w:val="20"/>
                <w:szCs w:val="20"/>
                <w:lang w:eastAsia="pl-PL"/>
              </w:rPr>
            </w:pPr>
          </w:p>
          <w:p w14:paraId="6D2404AF"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Lp.</w:t>
            </w:r>
          </w:p>
        </w:tc>
        <w:tc>
          <w:tcPr>
            <w:tcW w:w="4961" w:type="dxa"/>
            <w:tcBorders>
              <w:top w:val="single" w:sz="6" w:space="0" w:color="auto"/>
              <w:left w:val="single" w:sz="6" w:space="0" w:color="auto"/>
              <w:bottom w:val="double" w:sz="6" w:space="0" w:color="auto"/>
              <w:right w:val="single" w:sz="6" w:space="0" w:color="auto"/>
            </w:tcBorders>
          </w:tcPr>
          <w:p w14:paraId="19D49AAC" w14:textId="77777777" w:rsidR="006E3EE1" w:rsidRPr="00A40A83" w:rsidRDefault="006E3EE1" w:rsidP="00A40A83">
            <w:pPr>
              <w:spacing w:after="0" w:line="240" w:lineRule="auto"/>
              <w:ind w:left="709"/>
              <w:rPr>
                <w:rFonts w:ascii="Times New Roman" w:eastAsia="Times New Roman" w:hAnsi="Times New Roman" w:cs="Times New Roman"/>
                <w:sz w:val="20"/>
                <w:szCs w:val="20"/>
                <w:lang w:eastAsia="pl-PL"/>
              </w:rPr>
            </w:pPr>
          </w:p>
          <w:p w14:paraId="0C3E7DF2"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Właściwości</w:t>
            </w:r>
          </w:p>
        </w:tc>
        <w:tc>
          <w:tcPr>
            <w:tcW w:w="1781" w:type="dxa"/>
            <w:tcBorders>
              <w:top w:val="single" w:sz="6" w:space="0" w:color="auto"/>
              <w:left w:val="single" w:sz="6" w:space="0" w:color="auto"/>
              <w:bottom w:val="double" w:sz="6" w:space="0" w:color="auto"/>
              <w:right w:val="single" w:sz="6" w:space="0" w:color="auto"/>
            </w:tcBorders>
          </w:tcPr>
          <w:p w14:paraId="54726F00" w14:textId="77777777" w:rsidR="006E3EE1" w:rsidRPr="00A40A83" w:rsidRDefault="006E3EE1" w:rsidP="00A40A83">
            <w:pPr>
              <w:spacing w:after="0" w:line="240" w:lineRule="auto"/>
              <w:rPr>
                <w:rFonts w:ascii="Times New Roman" w:eastAsia="Times New Roman" w:hAnsi="Times New Roman" w:cs="Times New Roman"/>
                <w:bCs/>
                <w:sz w:val="20"/>
                <w:szCs w:val="20"/>
                <w:lang w:eastAsia="pl-PL"/>
              </w:rPr>
            </w:pPr>
            <w:r w:rsidRPr="00A40A83">
              <w:rPr>
                <w:rFonts w:ascii="Times New Roman" w:eastAsia="Times New Roman" w:hAnsi="Times New Roman" w:cs="Times New Roman"/>
                <w:bCs/>
                <w:sz w:val="20"/>
                <w:szCs w:val="20"/>
                <w:lang w:eastAsia="pl-PL"/>
              </w:rPr>
              <w:t>Podbudowa jednowarstwowa lub podbudowa zasadnicza</w:t>
            </w:r>
          </w:p>
        </w:tc>
        <w:tc>
          <w:tcPr>
            <w:tcW w:w="1417" w:type="dxa"/>
            <w:tcBorders>
              <w:top w:val="single" w:sz="6" w:space="0" w:color="auto"/>
              <w:left w:val="nil"/>
              <w:bottom w:val="double" w:sz="6" w:space="0" w:color="auto"/>
              <w:right w:val="single" w:sz="6" w:space="0" w:color="auto"/>
            </w:tcBorders>
          </w:tcPr>
          <w:p w14:paraId="451934C8" w14:textId="77777777" w:rsidR="006E3EE1" w:rsidRPr="00A40A83" w:rsidRDefault="006E3EE1" w:rsidP="00A40A83">
            <w:pPr>
              <w:spacing w:after="0" w:line="240" w:lineRule="auto"/>
              <w:ind w:left="709"/>
              <w:rPr>
                <w:rFonts w:ascii="Times New Roman" w:eastAsia="Times New Roman" w:hAnsi="Times New Roman" w:cs="Times New Roman"/>
                <w:sz w:val="20"/>
                <w:szCs w:val="20"/>
                <w:lang w:eastAsia="pl-PL"/>
              </w:rPr>
            </w:pPr>
          </w:p>
          <w:p w14:paraId="730AB811"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Podbudowa pomocnicza</w:t>
            </w:r>
          </w:p>
        </w:tc>
      </w:tr>
      <w:tr w:rsidR="006E3EE1" w:rsidRPr="00D82528" w14:paraId="3B7D36BD" w14:textId="77777777" w:rsidTr="00A40A83">
        <w:tc>
          <w:tcPr>
            <w:tcW w:w="709" w:type="dxa"/>
            <w:tcBorders>
              <w:left w:val="single" w:sz="6" w:space="0" w:color="auto"/>
              <w:bottom w:val="single" w:sz="6" w:space="0" w:color="auto"/>
              <w:right w:val="single" w:sz="6" w:space="0" w:color="auto"/>
            </w:tcBorders>
          </w:tcPr>
          <w:p w14:paraId="4181495E"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1</w:t>
            </w:r>
          </w:p>
        </w:tc>
        <w:tc>
          <w:tcPr>
            <w:tcW w:w="4961" w:type="dxa"/>
            <w:tcBorders>
              <w:left w:val="single" w:sz="6" w:space="0" w:color="auto"/>
              <w:bottom w:val="single" w:sz="6" w:space="0" w:color="auto"/>
              <w:right w:val="single" w:sz="6" w:space="0" w:color="auto"/>
            </w:tcBorders>
          </w:tcPr>
          <w:p w14:paraId="17E87849"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Uziarnienie, wg PN-B-06714-15 [2]</w:t>
            </w:r>
          </w:p>
          <w:p w14:paraId="35CB8E5C" w14:textId="77777777" w:rsid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 xml:space="preserve">a) zawartość ziarn mniejszych niż </w:t>
            </w:r>
            <w:smartTag w:uri="urn:schemas-microsoft-com:office:smarttags" w:element="metricconverter">
              <w:smartTagPr>
                <w:attr w:name="ProductID" w:val="0,075 mm"/>
              </w:smartTagPr>
              <w:r w:rsidRPr="00A40A83">
                <w:rPr>
                  <w:rFonts w:ascii="Times New Roman" w:eastAsia="Times New Roman" w:hAnsi="Times New Roman" w:cs="Times New Roman"/>
                  <w:sz w:val="20"/>
                  <w:szCs w:val="20"/>
                  <w:lang w:eastAsia="pl-PL"/>
                </w:rPr>
                <w:t>0,075 mm</w:t>
              </w:r>
            </w:smartTag>
            <w:r w:rsidRPr="00A40A83">
              <w:rPr>
                <w:rFonts w:ascii="Times New Roman" w:eastAsia="Times New Roman" w:hAnsi="Times New Roman" w:cs="Times New Roman"/>
                <w:sz w:val="20"/>
                <w:szCs w:val="20"/>
                <w:lang w:eastAsia="pl-PL"/>
              </w:rPr>
              <w:t>, odsianych na mokro, % m/m, nie więcej niż:</w:t>
            </w:r>
          </w:p>
          <w:p w14:paraId="42C1F577" w14:textId="18C0C17D"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 xml:space="preserve"> - w tłuczniu</w:t>
            </w:r>
          </w:p>
          <w:p w14:paraId="25F2A07C" w14:textId="01659B34"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 w klińcu</w:t>
            </w:r>
          </w:p>
          <w:p w14:paraId="6B960BBF" w14:textId="0420B45C"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b) zawartość frakcji podstawowej, % m/m, nie</w:t>
            </w:r>
            <w:r w:rsidR="00A40A83">
              <w:rPr>
                <w:rFonts w:ascii="Times New Roman" w:eastAsia="Times New Roman" w:hAnsi="Times New Roman" w:cs="Times New Roman"/>
                <w:sz w:val="20"/>
                <w:szCs w:val="20"/>
                <w:lang w:eastAsia="pl-PL"/>
              </w:rPr>
              <w:t xml:space="preserve"> </w:t>
            </w:r>
            <w:r w:rsidRPr="00A40A83">
              <w:rPr>
                <w:rFonts w:ascii="Times New Roman" w:eastAsia="Times New Roman" w:hAnsi="Times New Roman" w:cs="Times New Roman"/>
                <w:sz w:val="20"/>
                <w:szCs w:val="20"/>
                <w:lang w:eastAsia="pl-PL"/>
              </w:rPr>
              <w:t xml:space="preserve"> mniej niż:</w:t>
            </w:r>
          </w:p>
          <w:p w14:paraId="764D91C6" w14:textId="273BD966"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 xml:space="preserve"> - w tłuczniu i w klińcu</w:t>
            </w:r>
          </w:p>
          <w:p w14:paraId="18DE4EA5"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c) zawartość podziarna, % m/m, nie więcej niż:</w:t>
            </w:r>
          </w:p>
          <w:p w14:paraId="237BD135" w14:textId="553D0738"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 w tłuczniu i w klińcu</w:t>
            </w:r>
          </w:p>
          <w:p w14:paraId="601599BF"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d) zawartość nadziarna, % m/m, nie więcej niż:</w:t>
            </w:r>
          </w:p>
          <w:p w14:paraId="37B816C5" w14:textId="6C1558A6"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 w tłuczniu i w klińcu</w:t>
            </w:r>
          </w:p>
        </w:tc>
        <w:tc>
          <w:tcPr>
            <w:tcW w:w="1781" w:type="dxa"/>
            <w:tcBorders>
              <w:left w:val="single" w:sz="6" w:space="0" w:color="auto"/>
              <w:bottom w:val="single" w:sz="6" w:space="0" w:color="auto"/>
              <w:right w:val="single" w:sz="6" w:space="0" w:color="auto"/>
            </w:tcBorders>
          </w:tcPr>
          <w:p w14:paraId="2C4E4A00" w14:textId="77777777" w:rsidR="006E3EE1" w:rsidRPr="00A40A83" w:rsidRDefault="006E3EE1" w:rsidP="00A40A83">
            <w:pPr>
              <w:spacing w:after="0" w:line="240" w:lineRule="auto"/>
              <w:ind w:left="709"/>
              <w:rPr>
                <w:rFonts w:ascii="Times New Roman" w:eastAsia="Times New Roman" w:hAnsi="Times New Roman" w:cs="Times New Roman"/>
                <w:b/>
                <w:sz w:val="20"/>
                <w:szCs w:val="20"/>
                <w:lang w:eastAsia="pl-PL"/>
              </w:rPr>
            </w:pPr>
          </w:p>
          <w:p w14:paraId="5279B1F3" w14:textId="77777777" w:rsidR="006E3EE1" w:rsidRPr="00A40A83" w:rsidRDefault="006E3EE1" w:rsidP="00A40A83">
            <w:pPr>
              <w:spacing w:after="0" w:line="240" w:lineRule="auto"/>
              <w:ind w:left="709"/>
              <w:rPr>
                <w:rFonts w:ascii="Times New Roman" w:eastAsia="Times New Roman" w:hAnsi="Times New Roman" w:cs="Times New Roman"/>
                <w:b/>
                <w:sz w:val="20"/>
                <w:szCs w:val="20"/>
                <w:lang w:eastAsia="pl-PL"/>
              </w:rPr>
            </w:pPr>
          </w:p>
          <w:p w14:paraId="21AC89DA" w14:textId="77777777" w:rsidR="006E3EE1" w:rsidRPr="00A40A83" w:rsidRDefault="006E3EE1" w:rsidP="00A40A83">
            <w:pPr>
              <w:spacing w:after="0" w:line="240" w:lineRule="auto"/>
              <w:ind w:left="709"/>
              <w:rPr>
                <w:rFonts w:ascii="Times New Roman" w:eastAsia="Times New Roman" w:hAnsi="Times New Roman" w:cs="Times New Roman"/>
                <w:b/>
                <w:sz w:val="20"/>
                <w:szCs w:val="20"/>
                <w:lang w:eastAsia="pl-PL"/>
              </w:rPr>
            </w:pPr>
          </w:p>
          <w:p w14:paraId="73312A1D" w14:textId="77777777" w:rsidR="006E3EE1" w:rsidRPr="00A40A83" w:rsidRDefault="006E3EE1" w:rsidP="00A40A83">
            <w:pPr>
              <w:spacing w:after="0" w:line="240" w:lineRule="auto"/>
              <w:rPr>
                <w:rFonts w:ascii="Times New Roman" w:eastAsia="Times New Roman" w:hAnsi="Times New Roman" w:cs="Times New Roman"/>
                <w:bCs/>
                <w:sz w:val="20"/>
                <w:szCs w:val="20"/>
                <w:lang w:eastAsia="pl-PL"/>
              </w:rPr>
            </w:pPr>
            <w:r w:rsidRPr="00A40A83">
              <w:rPr>
                <w:rFonts w:ascii="Times New Roman" w:eastAsia="Times New Roman" w:hAnsi="Times New Roman" w:cs="Times New Roman"/>
                <w:bCs/>
                <w:sz w:val="20"/>
                <w:szCs w:val="20"/>
                <w:lang w:eastAsia="pl-PL"/>
              </w:rPr>
              <w:t>3</w:t>
            </w:r>
          </w:p>
          <w:p w14:paraId="40298409" w14:textId="77777777" w:rsidR="006E3EE1" w:rsidRPr="00A40A83" w:rsidRDefault="006E3EE1" w:rsidP="00A40A83">
            <w:pPr>
              <w:spacing w:after="0" w:line="240" w:lineRule="auto"/>
              <w:rPr>
                <w:rFonts w:ascii="Times New Roman" w:eastAsia="Times New Roman" w:hAnsi="Times New Roman" w:cs="Times New Roman"/>
                <w:bCs/>
                <w:sz w:val="20"/>
                <w:szCs w:val="20"/>
                <w:lang w:eastAsia="pl-PL"/>
              </w:rPr>
            </w:pPr>
            <w:r w:rsidRPr="00A40A83">
              <w:rPr>
                <w:rFonts w:ascii="Times New Roman" w:eastAsia="Times New Roman" w:hAnsi="Times New Roman" w:cs="Times New Roman"/>
                <w:bCs/>
                <w:sz w:val="20"/>
                <w:szCs w:val="20"/>
                <w:lang w:eastAsia="pl-PL"/>
              </w:rPr>
              <w:t>4</w:t>
            </w:r>
          </w:p>
          <w:p w14:paraId="13BB1D85" w14:textId="77777777" w:rsidR="006E3EE1" w:rsidRPr="00A40A83" w:rsidRDefault="006E3EE1" w:rsidP="00A40A83">
            <w:pPr>
              <w:spacing w:after="0" w:line="240" w:lineRule="auto"/>
              <w:ind w:left="709"/>
              <w:rPr>
                <w:rFonts w:ascii="Times New Roman" w:eastAsia="Times New Roman" w:hAnsi="Times New Roman" w:cs="Times New Roman"/>
                <w:bCs/>
                <w:sz w:val="20"/>
                <w:szCs w:val="20"/>
                <w:lang w:eastAsia="pl-PL"/>
              </w:rPr>
            </w:pPr>
          </w:p>
          <w:p w14:paraId="0C683F67" w14:textId="77777777" w:rsidR="006E3EE1" w:rsidRPr="00A40A83" w:rsidRDefault="006E3EE1" w:rsidP="00A40A83">
            <w:pPr>
              <w:spacing w:after="0" w:line="240" w:lineRule="auto"/>
              <w:ind w:left="709"/>
              <w:rPr>
                <w:rFonts w:ascii="Times New Roman" w:eastAsia="Times New Roman" w:hAnsi="Times New Roman" w:cs="Times New Roman"/>
                <w:bCs/>
                <w:sz w:val="20"/>
                <w:szCs w:val="20"/>
                <w:lang w:eastAsia="pl-PL"/>
              </w:rPr>
            </w:pPr>
          </w:p>
          <w:p w14:paraId="1654FBDB" w14:textId="77777777" w:rsidR="006E3EE1" w:rsidRPr="00A40A83" w:rsidRDefault="006E3EE1" w:rsidP="00A40A83">
            <w:pPr>
              <w:spacing w:after="0" w:line="240" w:lineRule="auto"/>
              <w:rPr>
                <w:rFonts w:ascii="Times New Roman" w:eastAsia="Times New Roman" w:hAnsi="Times New Roman" w:cs="Times New Roman"/>
                <w:bCs/>
                <w:sz w:val="20"/>
                <w:szCs w:val="20"/>
                <w:lang w:eastAsia="pl-PL"/>
              </w:rPr>
            </w:pPr>
            <w:r w:rsidRPr="00A40A83">
              <w:rPr>
                <w:rFonts w:ascii="Times New Roman" w:eastAsia="Times New Roman" w:hAnsi="Times New Roman" w:cs="Times New Roman"/>
                <w:bCs/>
                <w:sz w:val="20"/>
                <w:szCs w:val="20"/>
                <w:lang w:eastAsia="pl-PL"/>
              </w:rPr>
              <w:t>75</w:t>
            </w:r>
          </w:p>
          <w:p w14:paraId="554EC531" w14:textId="77777777" w:rsidR="006E3EE1" w:rsidRPr="00A40A83" w:rsidRDefault="006E3EE1" w:rsidP="00A40A83">
            <w:pPr>
              <w:spacing w:after="0" w:line="240" w:lineRule="auto"/>
              <w:ind w:left="709"/>
              <w:rPr>
                <w:rFonts w:ascii="Times New Roman" w:eastAsia="Times New Roman" w:hAnsi="Times New Roman" w:cs="Times New Roman"/>
                <w:bCs/>
                <w:sz w:val="20"/>
                <w:szCs w:val="20"/>
                <w:lang w:eastAsia="pl-PL"/>
              </w:rPr>
            </w:pPr>
          </w:p>
          <w:p w14:paraId="49EFD153" w14:textId="77777777" w:rsidR="006E3EE1" w:rsidRPr="00A40A83" w:rsidRDefault="006E3EE1" w:rsidP="00A40A83">
            <w:pPr>
              <w:spacing w:after="0" w:line="240" w:lineRule="auto"/>
              <w:rPr>
                <w:rFonts w:ascii="Times New Roman" w:eastAsia="Times New Roman" w:hAnsi="Times New Roman" w:cs="Times New Roman"/>
                <w:bCs/>
                <w:sz w:val="20"/>
                <w:szCs w:val="20"/>
                <w:lang w:eastAsia="pl-PL"/>
              </w:rPr>
            </w:pPr>
            <w:r w:rsidRPr="00A40A83">
              <w:rPr>
                <w:rFonts w:ascii="Times New Roman" w:eastAsia="Times New Roman" w:hAnsi="Times New Roman" w:cs="Times New Roman"/>
                <w:bCs/>
                <w:sz w:val="20"/>
                <w:szCs w:val="20"/>
                <w:lang w:eastAsia="pl-PL"/>
              </w:rPr>
              <w:t>15</w:t>
            </w:r>
          </w:p>
          <w:p w14:paraId="400C8636" w14:textId="77777777" w:rsidR="006E3EE1" w:rsidRPr="00A40A83" w:rsidRDefault="006E3EE1" w:rsidP="00A40A83">
            <w:pPr>
              <w:spacing w:after="0" w:line="240" w:lineRule="auto"/>
              <w:rPr>
                <w:rFonts w:ascii="Times New Roman" w:eastAsia="Times New Roman" w:hAnsi="Times New Roman" w:cs="Times New Roman"/>
                <w:b/>
                <w:sz w:val="20"/>
                <w:szCs w:val="20"/>
                <w:lang w:eastAsia="pl-PL"/>
              </w:rPr>
            </w:pPr>
            <w:r w:rsidRPr="00A40A83">
              <w:rPr>
                <w:rFonts w:ascii="Times New Roman" w:eastAsia="Times New Roman" w:hAnsi="Times New Roman" w:cs="Times New Roman"/>
                <w:bCs/>
                <w:sz w:val="20"/>
                <w:szCs w:val="20"/>
                <w:lang w:eastAsia="pl-PL"/>
              </w:rPr>
              <w:t>15</w:t>
            </w:r>
          </w:p>
        </w:tc>
        <w:tc>
          <w:tcPr>
            <w:tcW w:w="1417" w:type="dxa"/>
            <w:tcBorders>
              <w:left w:val="nil"/>
              <w:bottom w:val="single" w:sz="6" w:space="0" w:color="auto"/>
              <w:right w:val="single" w:sz="6" w:space="0" w:color="auto"/>
            </w:tcBorders>
          </w:tcPr>
          <w:p w14:paraId="3B85908C" w14:textId="77777777" w:rsidR="006E3EE1" w:rsidRPr="00A40A83" w:rsidRDefault="006E3EE1" w:rsidP="00A40A83">
            <w:pPr>
              <w:spacing w:after="0" w:line="240" w:lineRule="auto"/>
              <w:ind w:left="709"/>
              <w:rPr>
                <w:rFonts w:ascii="Times New Roman" w:eastAsia="Times New Roman" w:hAnsi="Times New Roman" w:cs="Times New Roman"/>
                <w:sz w:val="20"/>
                <w:szCs w:val="20"/>
                <w:lang w:eastAsia="pl-PL"/>
              </w:rPr>
            </w:pPr>
          </w:p>
          <w:p w14:paraId="0E0716EA" w14:textId="77777777" w:rsidR="006E3EE1" w:rsidRPr="00A40A83" w:rsidRDefault="006E3EE1" w:rsidP="00A40A83">
            <w:pPr>
              <w:spacing w:after="0" w:line="240" w:lineRule="auto"/>
              <w:ind w:left="709"/>
              <w:rPr>
                <w:rFonts w:ascii="Times New Roman" w:eastAsia="Times New Roman" w:hAnsi="Times New Roman" w:cs="Times New Roman"/>
                <w:sz w:val="20"/>
                <w:szCs w:val="20"/>
                <w:lang w:eastAsia="pl-PL"/>
              </w:rPr>
            </w:pPr>
          </w:p>
          <w:p w14:paraId="4106D07F" w14:textId="77777777" w:rsidR="006E3EE1" w:rsidRPr="00A40A83" w:rsidRDefault="006E3EE1" w:rsidP="00A40A83">
            <w:pPr>
              <w:spacing w:after="0" w:line="240" w:lineRule="auto"/>
              <w:ind w:left="709"/>
              <w:rPr>
                <w:rFonts w:ascii="Times New Roman" w:eastAsia="Times New Roman" w:hAnsi="Times New Roman" w:cs="Times New Roman"/>
                <w:sz w:val="20"/>
                <w:szCs w:val="20"/>
                <w:lang w:eastAsia="pl-PL"/>
              </w:rPr>
            </w:pPr>
          </w:p>
          <w:p w14:paraId="3D796889"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4</w:t>
            </w:r>
          </w:p>
          <w:p w14:paraId="75AC25C9"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5</w:t>
            </w:r>
          </w:p>
          <w:p w14:paraId="68327DF0" w14:textId="77777777" w:rsidR="006E3EE1" w:rsidRPr="00A40A83" w:rsidRDefault="006E3EE1" w:rsidP="00A40A83">
            <w:pPr>
              <w:spacing w:after="0" w:line="240" w:lineRule="auto"/>
              <w:ind w:left="709"/>
              <w:rPr>
                <w:rFonts w:ascii="Times New Roman" w:eastAsia="Times New Roman" w:hAnsi="Times New Roman" w:cs="Times New Roman"/>
                <w:sz w:val="20"/>
                <w:szCs w:val="20"/>
                <w:lang w:eastAsia="pl-PL"/>
              </w:rPr>
            </w:pPr>
          </w:p>
          <w:p w14:paraId="74164C02" w14:textId="77777777" w:rsidR="006E3EE1" w:rsidRPr="00A40A83" w:rsidRDefault="006E3EE1" w:rsidP="00A40A83">
            <w:pPr>
              <w:spacing w:after="0" w:line="240" w:lineRule="auto"/>
              <w:ind w:left="709"/>
              <w:rPr>
                <w:rFonts w:ascii="Times New Roman" w:eastAsia="Times New Roman" w:hAnsi="Times New Roman" w:cs="Times New Roman"/>
                <w:sz w:val="20"/>
                <w:szCs w:val="20"/>
                <w:lang w:eastAsia="pl-PL"/>
              </w:rPr>
            </w:pPr>
          </w:p>
          <w:p w14:paraId="166ED12E"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65</w:t>
            </w:r>
          </w:p>
          <w:p w14:paraId="345B8D48" w14:textId="77777777" w:rsidR="006E3EE1" w:rsidRPr="00A40A83" w:rsidRDefault="006E3EE1" w:rsidP="00A40A83">
            <w:pPr>
              <w:spacing w:after="0" w:line="240" w:lineRule="auto"/>
              <w:ind w:left="709"/>
              <w:rPr>
                <w:rFonts w:ascii="Times New Roman" w:eastAsia="Times New Roman" w:hAnsi="Times New Roman" w:cs="Times New Roman"/>
                <w:sz w:val="20"/>
                <w:szCs w:val="20"/>
                <w:lang w:eastAsia="pl-PL"/>
              </w:rPr>
            </w:pPr>
          </w:p>
          <w:p w14:paraId="3747C625"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25</w:t>
            </w:r>
          </w:p>
          <w:p w14:paraId="46C62B70"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20</w:t>
            </w:r>
          </w:p>
        </w:tc>
      </w:tr>
      <w:tr w:rsidR="006E3EE1" w:rsidRPr="00D82528" w14:paraId="11BDEE10" w14:textId="77777777" w:rsidTr="00A40A83">
        <w:tc>
          <w:tcPr>
            <w:tcW w:w="709" w:type="dxa"/>
            <w:tcBorders>
              <w:top w:val="single" w:sz="6" w:space="0" w:color="auto"/>
              <w:left w:val="single" w:sz="6" w:space="0" w:color="auto"/>
              <w:bottom w:val="single" w:sz="6" w:space="0" w:color="auto"/>
              <w:right w:val="single" w:sz="6" w:space="0" w:color="auto"/>
            </w:tcBorders>
          </w:tcPr>
          <w:p w14:paraId="4DA9BC56"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2</w:t>
            </w:r>
          </w:p>
        </w:tc>
        <w:tc>
          <w:tcPr>
            <w:tcW w:w="4961" w:type="dxa"/>
            <w:tcBorders>
              <w:top w:val="single" w:sz="6" w:space="0" w:color="auto"/>
              <w:left w:val="single" w:sz="6" w:space="0" w:color="auto"/>
              <w:bottom w:val="single" w:sz="6" w:space="0" w:color="auto"/>
              <w:right w:val="single" w:sz="6" w:space="0" w:color="auto"/>
            </w:tcBorders>
          </w:tcPr>
          <w:p w14:paraId="03AB1A9E"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Zawartość zanieczyszczeń obcych, wg PN-B-06714-12 [1], % m/m, nie więcej niż:</w:t>
            </w:r>
          </w:p>
          <w:p w14:paraId="5628DE0A" w14:textId="77777777" w:rsidR="006E3EE1" w:rsidRPr="00A40A83" w:rsidRDefault="006E3EE1" w:rsidP="00A40A83">
            <w:pPr>
              <w:spacing w:after="0" w:line="240" w:lineRule="auto"/>
              <w:ind w:left="709"/>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 w tłuczniu i w klińcu</w:t>
            </w:r>
          </w:p>
        </w:tc>
        <w:tc>
          <w:tcPr>
            <w:tcW w:w="1781" w:type="dxa"/>
            <w:tcBorders>
              <w:top w:val="single" w:sz="6" w:space="0" w:color="auto"/>
              <w:left w:val="single" w:sz="6" w:space="0" w:color="auto"/>
              <w:bottom w:val="single" w:sz="6" w:space="0" w:color="auto"/>
              <w:right w:val="single" w:sz="6" w:space="0" w:color="auto"/>
            </w:tcBorders>
          </w:tcPr>
          <w:p w14:paraId="78DAF9C6" w14:textId="77777777" w:rsidR="006E3EE1" w:rsidRPr="00A40A83" w:rsidRDefault="006E3EE1" w:rsidP="00A40A83">
            <w:pPr>
              <w:spacing w:after="0" w:line="240" w:lineRule="auto"/>
              <w:ind w:left="709"/>
              <w:rPr>
                <w:rFonts w:ascii="Times New Roman" w:eastAsia="Times New Roman" w:hAnsi="Times New Roman" w:cs="Times New Roman"/>
                <w:bCs/>
                <w:sz w:val="20"/>
                <w:szCs w:val="20"/>
                <w:lang w:eastAsia="pl-PL"/>
              </w:rPr>
            </w:pPr>
          </w:p>
          <w:p w14:paraId="03AD2076" w14:textId="77777777" w:rsidR="006E3EE1" w:rsidRPr="00A40A83" w:rsidRDefault="006E3EE1" w:rsidP="00A40A83">
            <w:pPr>
              <w:spacing w:after="0" w:line="240" w:lineRule="auto"/>
              <w:ind w:left="709"/>
              <w:rPr>
                <w:rFonts w:ascii="Times New Roman" w:eastAsia="Times New Roman" w:hAnsi="Times New Roman" w:cs="Times New Roman"/>
                <w:bCs/>
                <w:sz w:val="20"/>
                <w:szCs w:val="20"/>
                <w:lang w:eastAsia="pl-PL"/>
              </w:rPr>
            </w:pPr>
          </w:p>
          <w:p w14:paraId="23C30857" w14:textId="77777777" w:rsidR="006E3EE1" w:rsidRPr="00A40A83" w:rsidRDefault="006E3EE1" w:rsidP="00A40A83">
            <w:pPr>
              <w:spacing w:after="0" w:line="240" w:lineRule="auto"/>
              <w:rPr>
                <w:rFonts w:ascii="Times New Roman" w:eastAsia="Times New Roman" w:hAnsi="Times New Roman" w:cs="Times New Roman"/>
                <w:bCs/>
                <w:sz w:val="20"/>
                <w:szCs w:val="20"/>
                <w:lang w:eastAsia="pl-PL"/>
              </w:rPr>
            </w:pPr>
            <w:r w:rsidRPr="00A40A83">
              <w:rPr>
                <w:rFonts w:ascii="Times New Roman" w:eastAsia="Times New Roman" w:hAnsi="Times New Roman" w:cs="Times New Roman"/>
                <w:bCs/>
                <w:sz w:val="20"/>
                <w:szCs w:val="20"/>
                <w:lang w:eastAsia="pl-PL"/>
              </w:rPr>
              <w:t>0,2</w:t>
            </w:r>
          </w:p>
        </w:tc>
        <w:tc>
          <w:tcPr>
            <w:tcW w:w="1417" w:type="dxa"/>
            <w:tcBorders>
              <w:top w:val="single" w:sz="6" w:space="0" w:color="auto"/>
              <w:left w:val="nil"/>
              <w:bottom w:val="single" w:sz="6" w:space="0" w:color="auto"/>
              <w:right w:val="single" w:sz="6" w:space="0" w:color="auto"/>
            </w:tcBorders>
          </w:tcPr>
          <w:p w14:paraId="0C23B14C" w14:textId="77777777" w:rsidR="006E3EE1" w:rsidRPr="00A40A83" w:rsidRDefault="006E3EE1" w:rsidP="00A40A83">
            <w:pPr>
              <w:spacing w:after="0" w:line="240" w:lineRule="auto"/>
              <w:ind w:left="709"/>
              <w:rPr>
                <w:rFonts w:ascii="Times New Roman" w:eastAsia="Times New Roman" w:hAnsi="Times New Roman" w:cs="Times New Roman"/>
                <w:sz w:val="20"/>
                <w:szCs w:val="20"/>
                <w:lang w:eastAsia="pl-PL"/>
              </w:rPr>
            </w:pPr>
          </w:p>
          <w:p w14:paraId="50557338" w14:textId="77777777" w:rsidR="006E3EE1" w:rsidRPr="00A40A83" w:rsidRDefault="006E3EE1" w:rsidP="00A40A83">
            <w:pPr>
              <w:spacing w:after="0" w:line="240" w:lineRule="auto"/>
              <w:ind w:left="709"/>
              <w:rPr>
                <w:rFonts w:ascii="Times New Roman" w:eastAsia="Times New Roman" w:hAnsi="Times New Roman" w:cs="Times New Roman"/>
                <w:sz w:val="20"/>
                <w:szCs w:val="20"/>
                <w:lang w:eastAsia="pl-PL"/>
              </w:rPr>
            </w:pPr>
          </w:p>
          <w:p w14:paraId="79321789"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0,3</w:t>
            </w:r>
          </w:p>
        </w:tc>
      </w:tr>
      <w:tr w:rsidR="006E3EE1" w:rsidRPr="00D82528" w14:paraId="01BEBE80" w14:textId="77777777" w:rsidTr="00A40A83">
        <w:tc>
          <w:tcPr>
            <w:tcW w:w="709" w:type="dxa"/>
            <w:tcBorders>
              <w:top w:val="single" w:sz="6" w:space="0" w:color="auto"/>
              <w:left w:val="single" w:sz="6" w:space="0" w:color="auto"/>
              <w:bottom w:val="single" w:sz="6" w:space="0" w:color="auto"/>
              <w:right w:val="single" w:sz="6" w:space="0" w:color="auto"/>
            </w:tcBorders>
          </w:tcPr>
          <w:p w14:paraId="3E62A910"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3</w:t>
            </w:r>
          </w:p>
        </w:tc>
        <w:tc>
          <w:tcPr>
            <w:tcW w:w="4961" w:type="dxa"/>
            <w:tcBorders>
              <w:top w:val="single" w:sz="6" w:space="0" w:color="auto"/>
              <w:left w:val="single" w:sz="6" w:space="0" w:color="auto"/>
              <w:bottom w:val="single" w:sz="6" w:space="0" w:color="auto"/>
              <w:right w:val="single" w:sz="6" w:space="0" w:color="auto"/>
            </w:tcBorders>
          </w:tcPr>
          <w:p w14:paraId="69FCAF10"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Zawartość ziarn nieforemnych, wg PN-B-06714-16 [3], % m/m, nie więcej niż:</w:t>
            </w:r>
          </w:p>
          <w:p w14:paraId="1DD4FA5E"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 w tłuczniu</w:t>
            </w:r>
          </w:p>
          <w:p w14:paraId="0E959DCD"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 w klińcu</w:t>
            </w:r>
          </w:p>
        </w:tc>
        <w:tc>
          <w:tcPr>
            <w:tcW w:w="1781" w:type="dxa"/>
            <w:tcBorders>
              <w:top w:val="single" w:sz="6" w:space="0" w:color="auto"/>
              <w:left w:val="single" w:sz="6" w:space="0" w:color="auto"/>
              <w:bottom w:val="single" w:sz="6" w:space="0" w:color="auto"/>
              <w:right w:val="single" w:sz="6" w:space="0" w:color="auto"/>
            </w:tcBorders>
          </w:tcPr>
          <w:p w14:paraId="1CD3770D" w14:textId="77777777" w:rsidR="006E3EE1" w:rsidRPr="00A40A83" w:rsidRDefault="006E3EE1" w:rsidP="00A40A83">
            <w:pPr>
              <w:spacing w:after="0" w:line="240" w:lineRule="auto"/>
              <w:ind w:left="709"/>
              <w:rPr>
                <w:rFonts w:ascii="Times New Roman" w:eastAsia="Times New Roman" w:hAnsi="Times New Roman" w:cs="Times New Roman"/>
                <w:bCs/>
                <w:sz w:val="20"/>
                <w:szCs w:val="20"/>
                <w:lang w:eastAsia="pl-PL"/>
              </w:rPr>
            </w:pPr>
          </w:p>
          <w:p w14:paraId="778ADC53" w14:textId="77777777" w:rsidR="006E3EE1" w:rsidRPr="00A40A83" w:rsidRDefault="006E3EE1" w:rsidP="00A40A83">
            <w:pPr>
              <w:spacing w:after="0" w:line="240" w:lineRule="auto"/>
              <w:ind w:left="709"/>
              <w:rPr>
                <w:rFonts w:ascii="Times New Roman" w:eastAsia="Times New Roman" w:hAnsi="Times New Roman" w:cs="Times New Roman"/>
                <w:bCs/>
                <w:sz w:val="20"/>
                <w:szCs w:val="20"/>
                <w:lang w:eastAsia="pl-PL"/>
              </w:rPr>
            </w:pPr>
          </w:p>
          <w:p w14:paraId="25335B9B" w14:textId="77777777" w:rsidR="006E3EE1" w:rsidRPr="00A40A83" w:rsidRDefault="006E3EE1" w:rsidP="00A40A83">
            <w:pPr>
              <w:spacing w:after="0" w:line="240" w:lineRule="auto"/>
              <w:rPr>
                <w:rFonts w:ascii="Times New Roman" w:eastAsia="Times New Roman" w:hAnsi="Times New Roman" w:cs="Times New Roman"/>
                <w:bCs/>
                <w:sz w:val="20"/>
                <w:szCs w:val="20"/>
                <w:lang w:eastAsia="pl-PL"/>
              </w:rPr>
            </w:pPr>
            <w:r w:rsidRPr="00A40A83">
              <w:rPr>
                <w:rFonts w:ascii="Times New Roman" w:eastAsia="Times New Roman" w:hAnsi="Times New Roman" w:cs="Times New Roman"/>
                <w:bCs/>
                <w:sz w:val="20"/>
                <w:szCs w:val="20"/>
                <w:lang w:eastAsia="pl-PL"/>
              </w:rPr>
              <w:t>40</w:t>
            </w:r>
          </w:p>
          <w:p w14:paraId="3E4E2219" w14:textId="77777777" w:rsidR="006E3EE1" w:rsidRPr="00A40A83" w:rsidRDefault="006E3EE1" w:rsidP="00A40A83">
            <w:pPr>
              <w:spacing w:after="0" w:line="240" w:lineRule="auto"/>
              <w:rPr>
                <w:rFonts w:ascii="Times New Roman" w:eastAsia="Times New Roman" w:hAnsi="Times New Roman" w:cs="Times New Roman"/>
                <w:bCs/>
                <w:sz w:val="20"/>
                <w:szCs w:val="20"/>
                <w:lang w:eastAsia="pl-PL"/>
              </w:rPr>
            </w:pPr>
            <w:r w:rsidRPr="00A40A83">
              <w:rPr>
                <w:rFonts w:ascii="Times New Roman" w:eastAsia="Times New Roman" w:hAnsi="Times New Roman" w:cs="Times New Roman"/>
                <w:bCs/>
                <w:sz w:val="20"/>
                <w:szCs w:val="20"/>
                <w:lang w:eastAsia="pl-PL"/>
              </w:rPr>
              <w:t>nie bada się</w:t>
            </w:r>
          </w:p>
        </w:tc>
        <w:tc>
          <w:tcPr>
            <w:tcW w:w="1417" w:type="dxa"/>
            <w:tcBorders>
              <w:top w:val="single" w:sz="6" w:space="0" w:color="auto"/>
              <w:left w:val="nil"/>
              <w:bottom w:val="single" w:sz="6" w:space="0" w:color="auto"/>
              <w:right w:val="single" w:sz="6" w:space="0" w:color="auto"/>
            </w:tcBorders>
          </w:tcPr>
          <w:p w14:paraId="567EFC49" w14:textId="77777777" w:rsidR="006E3EE1" w:rsidRPr="00A40A83" w:rsidRDefault="006E3EE1" w:rsidP="00A40A83">
            <w:pPr>
              <w:spacing w:after="0" w:line="240" w:lineRule="auto"/>
              <w:ind w:left="709"/>
              <w:rPr>
                <w:rFonts w:ascii="Times New Roman" w:eastAsia="Times New Roman" w:hAnsi="Times New Roman" w:cs="Times New Roman"/>
                <w:sz w:val="20"/>
                <w:szCs w:val="20"/>
                <w:lang w:eastAsia="pl-PL"/>
              </w:rPr>
            </w:pPr>
          </w:p>
          <w:p w14:paraId="60A1693D" w14:textId="77777777" w:rsidR="006E3EE1" w:rsidRPr="00A40A83" w:rsidRDefault="006E3EE1" w:rsidP="00A40A83">
            <w:pPr>
              <w:spacing w:after="0" w:line="240" w:lineRule="auto"/>
              <w:ind w:left="709"/>
              <w:rPr>
                <w:rFonts w:ascii="Times New Roman" w:eastAsia="Times New Roman" w:hAnsi="Times New Roman" w:cs="Times New Roman"/>
                <w:sz w:val="20"/>
                <w:szCs w:val="20"/>
                <w:lang w:eastAsia="pl-PL"/>
              </w:rPr>
            </w:pPr>
          </w:p>
          <w:p w14:paraId="2B4F3881"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45</w:t>
            </w:r>
          </w:p>
          <w:p w14:paraId="1937838F"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nie bada się</w:t>
            </w:r>
          </w:p>
        </w:tc>
      </w:tr>
      <w:tr w:rsidR="006E3EE1" w:rsidRPr="00D82528" w14:paraId="3B9C3BD3" w14:textId="77777777" w:rsidTr="00A40A83">
        <w:tc>
          <w:tcPr>
            <w:tcW w:w="709" w:type="dxa"/>
            <w:tcBorders>
              <w:top w:val="single" w:sz="6" w:space="0" w:color="auto"/>
              <w:left w:val="single" w:sz="6" w:space="0" w:color="auto"/>
              <w:bottom w:val="single" w:sz="6" w:space="0" w:color="auto"/>
              <w:right w:val="single" w:sz="6" w:space="0" w:color="auto"/>
            </w:tcBorders>
          </w:tcPr>
          <w:p w14:paraId="0D9ED4CC"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4</w:t>
            </w:r>
          </w:p>
        </w:tc>
        <w:tc>
          <w:tcPr>
            <w:tcW w:w="4961" w:type="dxa"/>
            <w:tcBorders>
              <w:top w:val="single" w:sz="6" w:space="0" w:color="auto"/>
              <w:left w:val="single" w:sz="6" w:space="0" w:color="auto"/>
              <w:bottom w:val="single" w:sz="6" w:space="0" w:color="auto"/>
              <w:right w:val="single" w:sz="6" w:space="0" w:color="auto"/>
            </w:tcBorders>
          </w:tcPr>
          <w:p w14:paraId="2156549B" w14:textId="77777777"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Zawartość zanieczyszczeń organicznych, barwa cieczy wg PN-B-06714-26 [6]:</w:t>
            </w:r>
          </w:p>
          <w:p w14:paraId="61B357DF" w14:textId="5E798D6B" w:rsidR="006E3EE1" w:rsidRPr="00A40A83" w:rsidRDefault="006E3EE1" w:rsidP="00A40A83">
            <w:pPr>
              <w:spacing w:after="0" w:line="240" w:lineRule="auto"/>
              <w:rPr>
                <w:rFonts w:ascii="Times New Roman" w:eastAsia="Times New Roman" w:hAnsi="Times New Roman" w:cs="Times New Roman"/>
                <w:sz w:val="20"/>
                <w:szCs w:val="20"/>
                <w:lang w:eastAsia="pl-PL"/>
              </w:rPr>
            </w:pPr>
            <w:r w:rsidRPr="00A40A83">
              <w:rPr>
                <w:rFonts w:ascii="Times New Roman" w:eastAsia="Times New Roman" w:hAnsi="Times New Roman" w:cs="Times New Roman"/>
                <w:sz w:val="20"/>
                <w:szCs w:val="20"/>
                <w:lang w:eastAsia="pl-PL"/>
              </w:rPr>
              <w:t>- w tłuczniu i w klińcu, barwa cieczy nie ciemniejsza niż:</w:t>
            </w:r>
          </w:p>
        </w:tc>
        <w:tc>
          <w:tcPr>
            <w:tcW w:w="3198" w:type="dxa"/>
            <w:gridSpan w:val="2"/>
            <w:tcBorders>
              <w:top w:val="single" w:sz="6" w:space="0" w:color="auto"/>
              <w:left w:val="single" w:sz="6" w:space="0" w:color="auto"/>
              <w:bottom w:val="single" w:sz="6" w:space="0" w:color="auto"/>
              <w:right w:val="single" w:sz="6" w:space="0" w:color="auto"/>
            </w:tcBorders>
          </w:tcPr>
          <w:p w14:paraId="383EE5C5" w14:textId="77777777" w:rsidR="006E3EE1" w:rsidRPr="00A40A83" w:rsidRDefault="006E3EE1" w:rsidP="00A40A83">
            <w:pPr>
              <w:spacing w:after="0" w:line="240" w:lineRule="auto"/>
              <w:ind w:left="709"/>
              <w:rPr>
                <w:rFonts w:ascii="Times New Roman" w:eastAsia="Times New Roman" w:hAnsi="Times New Roman" w:cs="Times New Roman"/>
                <w:sz w:val="20"/>
                <w:szCs w:val="20"/>
                <w:lang w:eastAsia="pl-PL"/>
              </w:rPr>
            </w:pPr>
          </w:p>
          <w:p w14:paraId="600195A6" w14:textId="77777777" w:rsidR="006E3EE1" w:rsidRPr="00A40A83" w:rsidRDefault="006E3EE1" w:rsidP="00A40A83">
            <w:pPr>
              <w:spacing w:after="0" w:line="240" w:lineRule="auto"/>
              <w:ind w:left="709"/>
              <w:rPr>
                <w:rFonts w:ascii="Times New Roman" w:eastAsia="Times New Roman" w:hAnsi="Times New Roman" w:cs="Times New Roman"/>
                <w:sz w:val="20"/>
                <w:szCs w:val="20"/>
                <w:lang w:eastAsia="pl-PL"/>
              </w:rPr>
            </w:pPr>
          </w:p>
          <w:p w14:paraId="4B84AAE0" w14:textId="77777777" w:rsidR="006E3EE1" w:rsidRPr="00A40A83" w:rsidRDefault="006E3EE1" w:rsidP="00A40A83">
            <w:pPr>
              <w:spacing w:after="0" w:line="240" w:lineRule="auto"/>
              <w:rPr>
                <w:rFonts w:ascii="Times New Roman" w:eastAsia="Times New Roman" w:hAnsi="Times New Roman" w:cs="Times New Roman"/>
                <w:bCs/>
                <w:sz w:val="20"/>
                <w:szCs w:val="20"/>
                <w:lang w:eastAsia="pl-PL"/>
              </w:rPr>
            </w:pPr>
            <w:r w:rsidRPr="00A40A83">
              <w:rPr>
                <w:rFonts w:ascii="Times New Roman" w:eastAsia="Times New Roman" w:hAnsi="Times New Roman" w:cs="Times New Roman"/>
                <w:bCs/>
                <w:sz w:val="20"/>
                <w:szCs w:val="20"/>
                <w:lang w:eastAsia="pl-PL"/>
              </w:rPr>
              <w:t>wzorcowa</w:t>
            </w:r>
          </w:p>
        </w:tc>
      </w:tr>
    </w:tbl>
    <w:p w14:paraId="73AFEF6E" w14:textId="0FDE116E"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2.4. Woda</w:t>
      </w:r>
    </w:p>
    <w:p w14:paraId="43D4C882" w14:textId="0E607036" w:rsidR="00813BD0"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Woda użyta przy wykonywaniu zagęszczania i klinowania podbudowy może być studzienna lub z wodociągu, bez specjalnych wymagań.</w:t>
      </w:r>
    </w:p>
    <w:p w14:paraId="5F032D36" w14:textId="77777777" w:rsidR="006E3EE1" w:rsidRPr="00D82528" w:rsidRDefault="006E3EE1" w:rsidP="00A40A83">
      <w:pPr>
        <w:keepNext/>
        <w:spacing w:before="240" w:after="60" w:line="240" w:lineRule="auto"/>
        <w:ind w:left="709"/>
        <w:outlineLvl w:val="0"/>
        <w:rPr>
          <w:rFonts w:ascii="Times New Roman" w:eastAsia="Times New Roman" w:hAnsi="Times New Roman" w:cs="Times New Roman"/>
          <w:b/>
          <w:bCs/>
          <w:kern w:val="32"/>
          <w:sz w:val="32"/>
          <w:szCs w:val="32"/>
          <w:lang w:eastAsia="pl-PL"/>
        </w:rPr>
      </w:pPr>
      <w:bookmarkStart w:id="3" w:name="_Toc423398332"/>
      <w:r w:rsidRPr="00D82528">
        <w:rPr>
          <w:rFonts w:ascii="Times New Roman" w:eastAsia="Times New Roman" w:hAnsi="Times New Roman" w:cs="Times New Roman"/>
          <w:b/>
          <w:bCs/>
          <w:kern w:val="32"/>
          <w:sz w:val="32"/>
          <w:szCs w:val="32"/>
          <w:lang w:eastAsia="pl-PL"/>
        </w:rPr>
        <w:t xml:space="preserve">3. </w:t>
      </w:r>
      <w:bookmarkEnd w:id="3"/>
      <w:r w:rsidRPr="00D82528">
        <w:rPr>
          <w:rFonts w:ascii="Times New Roman" w:eastAsia="Times New Roman" w:hAnsi="Times New Roman" w:cs="Times New Roman"/>
          <w:b/>
          <w:bCs/>
          <w:kern w:val="32"/>
          <w:sz w:val="32"/>
          <w:szCs w:val="32"/>
          <w:lang w:eastAsia="pl-PL"/>
        </w:rPr>
        <w:t xml:space="preserve">SPRZĘT </w:t>
      </w:r>
    </w:p>
    <w:p w14:paraId="17EA668F"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3.1. Ogólne wymagania dotyczące sprzętu</w:t>
      </w:r>
    </w:p>
    <w:p w14:paraId="166D2BAE"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Ogólne wymagania dotyczące sprzętu podano w ST D-M-00.00.00 „Wymagania ogólne” pkt 3.</w:t>
      </w:r>
    </w:p>
    <w:p w14:paraId="753180BC"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3.2. Sprzęt do wykonania robót</w:t>
      </w:r>
    </w:p>
    <w:p w14:paraId="072493ED"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Wykonawca przystępujący do wykonania podbudowy z tłucznia kamiennego powinien wykazać się możliwością korzystania z następującego sprzętu:</w:t>
      </w:r>
    </w:p>
    <w:p w14:paraId="214BA6AB" w14:textId="77777777" w:rsidR="006E3EE1" w:rsidRPr="00D82528" w:rsidRDefault="006E3EE1" w:rsidP="00A40A83">
      <w:pPr>
        <w:numPr>
          <w:ilvl w:val="0"/>
          <w:numId w:val="2"/>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równiarek lub układarek kruszywa do rozkładania tłucznia i klińca,</w:t>
      </w:r>
    </w:p>
    <w:p w14:paraId="6E45B11B" w14:textId="77777777" w:rsidR="006E3EE1" w:rsidRPr="00D82528" w:rsidRDefault="006E3EE1" w:rsidP="00A40A83">
      <w:pPr>
        <w:numPr>
          <w:ilvl w:val="0"/>
          <w:numId w:val="2"/>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proofErr w:type="spellStart"/>
      <w:r w:rsidRPr="00D82528">
        <w:rPr>
          <w:rFonts w:ascii="Times New Roman" w:eastAsia="Times New Roman" w:hAnsi="Times New Roman" w:cs="Times New Roman"/>
          <w:sz w:val="24"/>
          <w:szCs w:val="24"/>
          <w:lang w:eastAsia="pl-PL"/>
        </w:rPr>
        <w:t>rozsypywarek</w:t>
      </w:r>
      <w:proofErr w:type="spellEnd"/>
      <w:r w:rsidRPr="00D82528">
        <w:rPr>
          <w:rFonts w:ascii="Times New Roman" w:eastAsia="Times New Roman" w:hAnsi="Times New Roman" w:cs="Times New Roman"/>
          <w:sz w:val="24"/>
          <w:szCs w:val="24"/>
          <w:lang w:eastAsia="pl-PL"/>
        </w:rPr>
        <w:t xml:space="preserve"> kruszywa do rozłożenia klińca,</w:t>
      </w:r>
    </w:p>
    <w:p w14:paraId="02A8417D" w14:textId="77777777" w:rsidR="006E3EE1" w:rsidRPr="00D82528" w:rsidRDefault="006E3EE1" w:rsidP="00A40A83">
      <w:pPr>
        <w:numPr>
          <w:ilvl w:val="0"/>
          <w:numId w:val="2"/>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walców statycznych gładkich do zagęszczania kruszywa grubego,</w:t>
      </w:r>
    </w:p>
    <w:p w14:paraId="0BE50273" w14:textId="77777777" w:rsidR="006E3EE1" w:rsidRPr="00D82528" w:rsidRDefault="006E3EE1" w:rsidP="00A40A83">
      <w:pPr>
        <w:numPr>
          <w:ilvl w:val="0"/>
          <w:numId w:val="2"/>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walców wibracyjnych lub wibracyjnych zagęszczarek płytowych do klinowania kruszywa grubego klińcem,</w:t>
      </w:r>
    </w:p>
    <w:p w14:paraId="6B9BA56F" w14:textId="77777777" w:rsidR="006E3EE1" w:rsidRPr="00D82528" w:rsidRDefault="006E3EE1" w:rsidP="00A40A83">
      <w:pPr>
        <w:numPr>
          <w:ilvl w:val="0"/>
          <w:numId w:val="2"/>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szczotek mechanicznych do usunięcia nadmiaru klińca,</w:t>
      </w:r>
    </w:p>
    <w:p w14:paraId="4D2671E0" w14:textId="77777777" w:rsidR="006E3EE1" w:rsidRPr="00D82528" w:rsidRDefault="006E3EE1" w:rsidP="00A40A83">
      <w:pPr>
        <w:numPr>
          <w:ilvl w:val="0"/>
          <w:numId w:val="2"/>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walców ogumionych lub stalowych gładkich do końcowego dogęszczenia,</w:t>
      </w:r>
    </w:p>
    <w:p w14:paraId="56EB71EB" w14:textId="77777777" w:rsidR="006E3EE1" w:rsidRPr="00D82528" w:rsidRDefault="006E3EE1" w:rsidP="00A40A83">
      <w:pPr>
        <w:numPr>
          <w:ilvl w:val="0"/>
          <w:numId w:val="2"/>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przewoźnych zbiorników do wody zaopatrzonych w urządzenia do rozpryskiwania wody.</w:t>
      </w:r>
    </w:p>
    <w:p w14:paraId="217E3285" w14:textId="77777777" w:rsidR="006E3EE1" w:rsidRPr="00D82528" w:rsidRDefault="006E3EE1" w:rsidP="00A40A83">
      <w:pPr>
        <w:keepNext/>
        <w:spacing w:before="240" w:after="60" w:line="240" w:lineRule="auto"/>
        <w:ind w:left="709"/>
        <w:outlineLvl w:val="0"/>
        <w:rPr>
          <w:rFonts w:ascii="Times New Roman" w:eastAsia="Times New Roman" w:hAnsi="Times New Roman" w:cs="Times New Roman"/>
          <w:b/>
          <w:bCs/>
          <w:kern w:val="32"/>
          <w:sz w:val="32"/>
          <w:szCs w:val="32"/>
          <w:lang w:eastAsia="pl-PL"/>
        </w:rPr>
      </w:pPr>
      <w:bookmarkStart w:id="4" w:name="_Toc423398333"/>
      <w:r w:rsidRPr="00D82528">
        <w:rPr>
          <w:rFonts w:ascii="Times New Roman" w:eastAsia="Times New Roman" w:hAnsi="Times New Roman" w:cs="Times New Roman"/>
          <w:b/>
          <w:bCs/>
          <w:kern w:val="32"/>
          <w:sz w:val="32"/>
          <w:szCs w:val="32"/>
          <w:lang w:eastAsia="pl-PL"/>
        </w:rPr>
        <w:lastRenderedPageBreak/>
        <w:t xml:space="preserve">4. </w:t>
      </w:r>
      <w:bookmarkEnd w:id="4"/>
      <w:r w:rsidRPr="00D82528">
        <w:rPr>
          <w:rFonts w:ascii="Times New Roman" w:eastAsia="Times New Roman" w:hAnsi="Times New Roman" w:cs="Times New Roman"/>
          <w:b/>
          <w:bCs/>
          <w:kern w:val="32"/>
          <w:sz w:val="32"/>
          <w:szCs w:val="32"/>
          <w:lang w:eastAsia="pl-PL"/>
        </w:rPr>
        <w:t xml:space="preserve">TRANSPORT </w:t>
      </w:r>
    </w:p>
    <w:p w14:paraId="0164CC3F"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4.1. Ogólne wymagania dotyczące transportu</w:t>
      </w:r>
    </w:p>
    <w:p w14:paraId="12FC3BA5"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Cs/>
          <w:iCs/>
          <w:sz w:val="24"/>
          <w:szCs w:val="24"/>
          <w:lang w:eastAsia="pl-PL"/>
        </w:rPr>
      </w:pPr>
      <w:r w:rsidRPr="00D82528">
        <w:rPr>
          <w:rFonts w:ascii="Times New Roman" w:eastAsia="Times New Roman" w:hAnsi="Times New Roman" w:cs="Times New Roman"/>
          <w:bCs/>
          <w:iCs/>
          <w:sz w:val="24"/>
          <w:szCs w:val="24"/>
          <w:lang w:eastAsia="pl-PL"/>
        </w:rPr>
        <w:tab/>
        <w:t>Ogólne wymagania dotyczące transportu podano w ST D-M-00.00.00 „Wymagania ogólne” pkt 4.</w:t>
      </w:r>
    </w:p>
    <w:p w14:paraId="7188E99A"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4.2. Transport kruszywa</w:t>
      </w:r>
    </w:p>
    <w:p w14:paraId="2C76BB49"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Kruszywa można przewozić dowolnymi środkami transportu w warunkach zabezpieczających je przed zanieczyszczeniem, zmieszaniem z innymi materiałami, nadmiernym wysuszeniem i zawilgoceniem.</w:t>
      </w:r>
    </w:p>
    <w:p w14:paraId="61FBA4D4" w14:textId="77777777" w:rsidR="006E3EE1" w:rsidRPr="00D82528" w:rsidRDefault="006E3EE1" w:rsidP="00A40A83">
      <w:pPr>
        <w:keepNext/>
        <w:spacing w:before="240" w:after="60" w:line="240" w:lineRule="auto"/>
        <w:ind w:left="709"/>
        <w:outlineLvl w:val="0"/>
        <w:rPr>
          <w:rFonts w:ascii="Times New Roman" w:eastAsia="Times New Roman" w:hAnsi="Times New Roman" w:cs="Times New Roman"/>
          <w:b/>
          <w:bCs/>
          <w:kern w:val="32"/>
          <w:sz w:val="32"/>
          <w:szCs w:val="32"/>
          <w:lang w:eastAsia="pl-PL"/>
        </w:rPr>
      </w:pPr>
      <w:bookmarkStart w:id="5" w:name="_Toc423398334"/>
      <w:r w:rsidRPr="00D82528">
        <w:rPr>
          <w:rFonts w:ascii="Times New Roman" w:eastAsia="Times New Roman" w:hAnsi="Times New Roman" w:cs="Times New Roman"/>
          <w:b/>
          <w:bCs/>
          <w:kern w:val="32"/>
          <w:sz w:val="32"/>
          <w:szCs w:val="32"/>
          <w:lang w:eastAsia="pl-PL"/>
        </w:rPr>
        <w:t xml:space="preserve">5. </w:t>
      </w:r>
      <w:bookmarkEnd w:id="5"/>
      <w:r w:rsidRPr="00D82528">
        <w:rPr>
          <w:rFonts w:ascii="Times New Roman" w:eastAsia="Times New Roman" w:hAnsi="Times New Roman" w:cs="Times New Roman"/>
          <w:b/>
          <w:bCs/>
          <w:kern w:val="32"/>
          <w:sz w:val="32"/>
          <w:szCs w:val="32"/>
          <w:lang w:eastAsia="pl-PL"/>
        </w:rPr>
        <w:t xml:space="preserve">WYKONANIE ROBÓT </w:t>
      </w:r>
    </w:p>
    <w:p w14:paraId="0DEF3388"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5.1. Ogólne zasady wykonania robót</w:t>
      </w:r>
    </w:p>
    <w:p w14:paraId="2C98AC11"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Ogólne zasady wykonania robót podano w ST D-M-00.00.00 „Wymagania ogólne” pkt 5.</w:t>
      </w:r>
    </w:p>
    <w:p w14:paraId="780DE2D6"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5.2. Przygotowanie podłoża</w:t>
      </w:r>
    </w:p>
    <w:p w14:paraId="47C423B4"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Podłoże pod podbudowę tłuczniową powinno spełniać wymagania określone w ST D-04.01.01 „Koryto wraz z profilowaniem i zagęszczeniem podłoża”.</w:t>
      </w:r>
    </w:p>
    <w:p w14:paraId="4A9A82E3"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Podbudowa tłuczniowa powinna być ułożona na podłożu zapewniającym nieprzenikanie drobnych cząstek gruntu do warstwy podbudowy. Na gruncie spoistym, pod podbudową tłuczniową powinna być ułożona warstwa odcinająca lub wykonane ulepszenie podłoża.</w:t>
      </w:r>
    </w:p>
    <w:p w14:paraId="249C17C8"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W przypadku zastosowania pomiędzy warstwą podbudowy tłuczniowej a spoistym gruntem podłoża warstwy odcinającej albo odsączającej, powinien być spełniony warunek nieprzenikania cząstek drobnych, wyrażony wzorem:</w:t>
      </w:r>
    </w:p>
    <w:p w14:paraId="13491AEB"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r>
      <w:r w:rsidRPr="00D82528">
        <w:rPr>
          <w:rFonts w:ascii="Times New Roman" w:eastAsia="Times New Roman" w:hAnsi="Times New Roman" w:cs="Times New Roman"/>
          <w:sz w:val="24"/>
          <w:szCs w:val="24"/>
          <w:lang w:eastAsia="pl-PL"/>
        </w:rPr>
        <w:tab/>
      </w:r>
      <w:r w:rsidRPr="00D82528">
        <w:rPr>
          <w:rFonts w:ascii="Times New Roman" w:eastAsia="Times New Roman" w:hAnsi="Times New Roman" w:cs="Times New Roman"/>
          <w:sz w:val="24"/>
          <w:szCs w:val="24"/>
          <w:lang w:eastAsia="pl-PL"/>
        </w:rPr>
        <w:tab/>
      </w:r>
      <w:r w:rsidRPr="00D82528">
        <w:rPr>
          <w:rFonts w:ascii="Times New Roman" w:eastAsia="Times New Roman" w:hAnsi="Times New Roman" w:cs="Times New Roman"/>
          <w:sz w:val="24"/>
          <w:szCs w:val="24"/>
          <w:lang w:eastAsia="pl-PL"/>
        </w:rPr>
        <w:tab/>
        <w:t xml:space="preserve">                 </w:t>
      </w:r>
      <w:r w:rsidRPr="00D82528">
        <w:rPr>
          <w:rFonts w:ascii="Times New Roman" w:eastAsia="Times New Roman" w:hAnsi="Times New Roman" w:cs="Times New Roman"/>
          <w:position w:val="-28"/>
          <w:sz w:val="24"/>
          <w:szCs w:val="24"/>
          <w:lang w:eastAsia="pl-PL"/>
        </w:rPr>
        <w:object w:dxaOrig="840" w:dyaOrig="740" w14:anchorId="3846DB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7.1pt" o:ole="">
            <v:imagedata r:id="rId7" o:title=""/>
          </v:shape>
          <o:OLEObject Type="Embed" ProgID="Equation.2" ShapeID="_x0000_i1025" DrawAspect="Content" ObjectID="_1817549342" r:id="rId8"/>
        </w:object>
      </w:r>
    </w:p>
    <w:p w14:paraId="769A52E1"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gdzie: D</w:t>
      </w:r>
      <w:r w:rsidRPr="00D82528">
        <w:rPr>
          <w:rFonts w:ascii="Times New Roman" w:eastAsia="Times New Roman" w:hAnsi="Times New Roman" w:cs="Times New Roman"/>
          <w:sz w:val="24"/>
          <w:szCs w:val="24"/>
          <w:vertAlign w:val="subscript"/>
          <w:lang w:eastAsia="pl-PL"/>
        </w:rPr>
        <w:t>15</w:t>
      </w:r>
      <w:r w:rsidRPr="00D82528">
        <w:rPr>
          <w:rFonts w:ascii="Times New Roman" w:eastAsia="Times New Roman" w:hAnsi="Times New Roman" w:cs="Times New Roman"/>
          <w:sz w:val="24"/>
          <w:szCs w:val="24"/>
          <w:lang w:eastAsia="pl-PL"/>
        </w:rPr>
        <w:t xml:space="preserve"> - wymiar sita, przez które przechodzi 15% ziarn warstwy odcinającej albo</w:t>
      </w:r>
    </w:p>
    <w:p w14:paraId="196A73B5"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                    odsączającej,</w:t>
      </w:r>
    </w:p>
    <w:p w14:paraId="23E5A4DF"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      d</w:t>
      </w:r>
      <w:r w:rsidRPr="00D82528">
        <w:rPr>
          <w:rFonts w:ascii="Times New Roman" w:eastAsia="Times New Roman" w:hAnsi="Times New Roman" w:cs="Times New Roman"/>
          <w:sz w:val="24"/>
          <w:szCs w:val="24"/>
          <w:vertAlign w:val="subscript"/>
          <w:lang w:eastAsia="pl-PL"/>
        </w:rPr>
        <w:t xml:space="preserve">85 </w:t>
      </w:r>
      <w:r w:rsidRPr="00D82528">
        <w:rPr>
          <w:rFonts w:ascii="Times New Roman" w:eastAsia="Times New Roman" w:hAnsi="Times New Roman" w:cs="Times New Roman"/>
          <w:sz w:val="24"/>
          <w:szCs w:val="24"/>
          <w:lang w:eastAsia="pl-PL"/>
        </w:rPr>
        <w:t xml:space="preserve"> - wymiar sita, przez które przechodzi 85% ziarn gruntu podłoża.</w:t>
      </w:r>
    </w:p>
    <w:p w14:paraId="3BF2C8BE"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Geowłókniny przewidziane do użycia pod podbudowę tłuczniową powinny posiadać aprobatę techniczną wydaną przez uprawnioną jednostkę. W szczególności wymagana jest odpowiednia wytrzymałość mechaniczna geowłóknin, uniemożliwiająca ich przebicie ziarna tłucznia oraz odpowiednie właściwości filtracyjne, dostosowane do uziarnienia podłoża gruntowego.</w:t>
      </w:r>
    </w:p>
    <w:p w14:paraId="6C0BF0AB"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Podbudowa powinna być wytyczona w sposób umożliwiający jej wykonanie zgodnie z dokumentacją projektową lub według zaleceń Inżyniera, z tolerancjami określonymi w niniejszych specyfikacjach.</w:t>
      </w:r>
    </w:p>
    <w:p w14:paraId="211CD38C"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Paliki lub szpilki do prawidłowego ukształtowania podbudowy powinny być wcześniej przygotowane.</w:t>
      </w:r>
    </w:p>
    <w:p w14:paraId="69EC6C69"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Paliki lub szpilki powinny być ustawione w osi drogi i w rzędach równoległych do osi drogi lub w inny sposób zaakceptowany przez Inżyniera.</w:t>
      </w:r>
    </w:p>
    <w:p w14:paraId="2E07EE15"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D82528">
          <w:rPr>
            <w:rFonts w:ascii="Times New Roman" w:eastAsia="Times New Roman" w:hAnsi="Times New Roman" w:cs="Times New Roman"/>
            <w:sz w:val="24"/>
            <w:szCs w:val="24"/>
            <w:lang w:eastAsia="pl-PL"/>
          </w:rPr>
          <w:t>10 m</w:t>
        </w:r>
      </w:smartTag>
      <w:r w:rsidRPr="00D82528">
        <w:rPr>
          <w:rFonts w:ascii="Times New Roman" w:eastAsia="Times New Roman" w:hAnsi="Times New Roman" w:cs="Times New Roman"/>
          <w:sz w:val="24"/>
          <w:szCs w:val="24"/>
          <w:lang w:eastAsia="pl-PL"/>
        </w:rPr>
        <w:t>.</w:t>
      </w:r>
    </w:p>
    <w:p w14:paraId="014571BA"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lastRenderedPageBreak/>
        <w:t>5.3. Wbudowywanie i zagęszczanie kruszywa</w:t>
      </w:r>
    </w:p>
    <w:p w14:paraId="602894BB"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 xml:space="preserve">Minimalna grubość warstwy podbudowy z tłucznia nie może być po zagęszczeniu mniejsza od 1,5-krotnego wymiaru największych ziarn tłucznia. Maksymalna grubość warstwy podbudowy po zagęszczeniu nie może przekraczać </w:t>
      </w:r>
      <w:smartTag w:uri="urn:schemas-microsoft-com:office:smarttags" w:element="metricconverter">
        <w:smartTagPr>
          <w:attr w:name="ProductID" w:val="20 cm"/>
        </w:smartTagPr>
        <w:r w:rsidRPr="00D82528">
          <w:rPr>
            <w:rFonts w:ascii="Times New Roman" w:eastAsia="Times New Roman" w:hAnsi="Times New Roman" w:cs="Times New Roman"/>
            <w:sz w:val="24"/>
            <w:szCs w:val="24"/>
            <w:lang w:eastAsia="pl-PL"/>
          </w:rPr>
          <w:t>20 cm</w:t>
        </w:r>
      </w:smartTag>
      <w:r w:rsidRPr="00D82528">
        <w:rPr>
          <w:rFonts w:ascii="Times New Roman" w:eastAsia="Times New Roman" w:hAnsi="Times New Roman" w:cs="Times New Roman"/>
          <w:sz w:val="24"/>
          <w:szCs w:val="24"/>
          <w:lang w:eastAsia="pl-PL"/>
        </w:rPr>
        <w:t xml:space="preserve">. Podbudowę o grubości powyżej </w:t>
      </w:r>
      <w:smartTag w:uri="urn:schemas-microsoft-com:office:smarttags" w:element="metricconverter">
        <w:smartTagPr>
          <w:attr w:name="ProductID" w:val="20 cm"/>
        </w:smartTagPr>
        <w:r w:rsidRPr="00D82528">
          <w:rPr>
            <w:rFonts w:ascii="Times New Roman" w:eastAsia="Times New Roman" w:hAnsi="Times New Roman" w:cs="Times New Roman"/>
            <w:sz w:val="24"/>
            <w:szCs w:val="24"/>
            <w:lang w:eastAsia="pl-PL"/>
          </w:rPr>
          <w:t>20 cm</w:t>
        </w:r>
      </w:smartTag>
      <w:r w:rsidRPr="00D82528">
        <w:rPr>
          <w:rFonts w:ascii="Times New Roman" w:eastAsia="Times New Roman" w:hAnsi="Times New Roman" w:cs="Times New Roman"/>
          <w:sz w:val="24"/>
          <w:szCs w:val="24"/>
          <w:lang w:eastAsia="pl-PL"/>
        </w:rPr>
        <w:t xml:space="preserve"> należy wykonywać w dwóch warstwach.</w:t>
      </w:r>
    </w:p>
    <w:p w14:paraId="0FDEB190"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Kruszywo grube powinno być rozłożone w warstwie o jednakowej grubości, przy użyciu układarki albo równiarki. Grubość rozłożonej warstwy luźnego kruszywa powinna być taka, aby po jej zagęszczeniu i zaklinowaniu osiągnęła grubość projektowaną.</w:t>
      </w:r>
    </w:p>
    <w:p w14:paraId="6D4EA844"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Kruszywo grube po rozłożeniu powinno być przywałowane dwoma przejściami walca statycznego, gładkiego o nacisku jednostkowym nie mniejszym niż 30 kN/m. Zagęszczanie podbudowy o przekroju daszkowym powinno rozpocząć się od krawędzi i stopniowo przesuwać się pasami podłużnymi, częściowo nakładającymi się w kierunku osi jezdni. Zagęszczenie podbudowy o jednostronnym spadku poprzecznym powinno rozpocząć się od dolnej krawędzi i przesuwać się pasami podłużnymi, częściowo nakładającymi się, w kierunku jej górnej krawędzi.</w:t>
      </w:r>
    </w:p>
    <w:p w14:paraId="7D9A396D"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W przypadku wykonywania podbudowy zasadniczej, po przywałowaniu kruszywa grubego należy rozłożyć kruszywo drobne w równej warstwie, w celu zaklinowania kruszywa grubego. Do zagęszczania należy użyć walca wibracyjnego o nacisku jednostkowym co najmniej 18 kN/m, albo płytową zagęszczarką wibracyjną o nacisku jednostkowym co najmniej 16 kN/m</w:t>
      </w:r>
      <w:r w:rsidRPr="00D82528">
        <w:rPr>
          <w:rFonts w:ascii="Times New Roman" w:eastAsia="Times New Roman" w:hAnsi="Times New Roman" w:cs="Times New Roman"/>
          <w:sz w:val="24"/>
          <w:szCs w:val="24"/>
          <w:vertAlign w:val="superscript"/>
          <w:lang w:eastAsia="pl-PL"/>
        </w:rPr>
        <w:t>2</w:t>
      </w:r>
      <w:r w:rsidRPr="00D82528">
        <w:rPr>
          <w:rFonts w:ascii="Times New Roman" w:eastAsia="Times New Roman" w:hAnsi="Times New Roman" w:cs="Times New Roman"/>
          <w:sz w:val="24"/>
          <w:szCs w:val="24"/>
          <w:lang w:eastAsia="pl-PL"/>
        </w:rPr>
        <w:t xml:space="preserve">. Grubość warstwy luźnego kruszywa drobnego powinna być taka, aby wszystkie przestrzenie warstwy kruszywa grubego zostały wypełnione kruszywem drobnym. Jeżeli to konieczne, operacje rozkładania i </w:t>
      </w:r>
      <w:proofErr w:type="spellStart"/>
      <w:r w:rsidRPr="00D82528">
        <w:rPr>
          <w:rFonts w:ascii="Times New Roman" w:eastAsia="Times New Roman" w:hAnsi="Times New Roman" w:cs="Times New Roman"/>
          <w:sz w:val="24"/>
          <w:szCs w:val="24"/>
          <w:lang w:eastAsia="pl-PL"/>
        </w:rPr>
        <w:t>wwibrowywanie</w:t>
      </w:r>
      <w:proofErr w:type="spellEnd"/>
      <w:r w:rsidRPr="00D82528">
        <w:rPr>
          <w:rFonts w:ascii="Times New Roman" w:eastAsia="Times New Roman" w:hAnsi="Times New Roman" w:cs="Times New Roman"/>
          <w:sz w:val="24"/>
          <w:szCs w:val="24"/>
          <w:lang w:eastAsia="pl-PL"/>
        </w:rPr>
        <w:t xml:space="preserve"> kruszywa drobnego należy powtarzać aż do chwili, gdy kruszywo drobne przestanie penetrować warstwę kruszywa grubego.</w:t>
      </w:r>
    </w:p>
    <w:p w14:paraId="209A0D33"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 xml:space="preserve">Po zagęszczeniu cały nadmiar kruszywa drobnego należy usunąć z podbudowy szczotkami tak, aby ziarna kruszywa grubego wystawały nad powierzchnię od 3 do </w:t>
      </w:r>
      <w:smartTag w:uri="urn:schemas-microsoft-com:office:smarttags" w:element="metricconverter">
        <w:smartTagPr>
          <w:attr w:name="ProductID" w:val="6 mm"/>
        </w:smartTagPr>
        <w:r w:rsidRPr="00D82528">
          <w:rPr>
            <w:rFonts w:ascii="Times New Roman" w:eastAsia="Times New Roman" w:hAnsi="Times New Roman" w:cs="Times New Roman"/>
            <w:sz w:val="24"/>
            <w:szCs w:val="24"/>
            <w:lang w:eastAsia="pl-PL"/>
          </w:rPr>
          <w:t>6 mm</w:t>
        </w:r>
      </w:smartTag>
      <w:r w:rsidRPr="00D82528">
        <w:rPr>
          <w:rFonts w:ascii="Times New Roman" w:eastAsia="Times New Roman" w:hAnsi="Times New Roman" w:cs="Times New Roman"/>
          <w:sz w:val="24"/>
          <w:szCs w:val="24"/>
          <w:lang w:eastAsia="pl-PL"/>
        </w:rPr>
        <w:t>.</w:t>
      </w:r>
    </w:p>
    <w:p w14:paraId="50F92815"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Następnie warstwa powinna być przywałowana walcem statycznym gładkim o nacisku jednostkowym nie mniejszym niż 50 kN/m, albo walcem ogumionym w celu dogęszczenia kruszywa poluzowanego w czasie szczotkowania.</w:t>
      </w:r>
    </w:p>
    <w:p w14:paraId="01837D35"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5.4. Odcinek próbny</w:t>
      </w:r>
    </w:p>
    <w:p w14:paraId="2C6709FC"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 xml:space="preserve">Nie wymaga się </w:t>
      </w:r>
    </w:p>
    <w:p w14:paraId="07F6D714"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5.5. Utrzymanie podbudowy</w:t>
      </w:r>
    </w:p>
    <w:p w14:paraId="23A5C0AB" w14:textId="04ADCDA6"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Podbudowa po wykonaniu, a przed ułożeniem następnej warstwy, powinna być utrzymywana w dobrym stanie. Jeżeli Wykonawca będzie wykorzystywał, za zgodą In</w:t>
      </w:r>
      <w:r w:rsidR="00CF16B2">
        <w:rPr>
          <w:rFonts w:ascii="Times New Roman" w:eastAsia="Times New Roman" w:hAnsi="Times New Roman" w:cs="Times New Roman"/>
          <w:sz w:val="24"/>
          <w:szCs w:val="24"/>
          <w:lang w:eastAsia="pl-PL"/>
        </w:rPr>
        <w:t>spektora</w:t>
      </w:r>
      <w:r w:rsidRPr="00D82528">
        <w:rPr>
          <w:rFonts w:ascii="Times New Roman" w:eastAsia="Times New Roman" w:hAnsi="Times New Roman" w:cs="Times New Roman"/>
          <w:sz w:val="24"/>
          <w:szCs w:val="24"/>
          <w:lang w:eastAsia="pl-PL"/>
        </w:rPr>
        <w:t>, gotową podbudowę do ruchu budowlanego, to jest obowiązany naprawić wszelkie uszkodzenia podbudowy, spowodowane przez ten ruch. Koszt napraw wynikłych z niewłaściwego utrzymania podbudowy obciąża Wykonawcę robót.</w:t>
      </w:r>
    </w:p>
    <w:p w14:paraId="28DD2A44" w14:textId="77777777" w:rsidR="006E3EE1" w:rsidRPr="00D82528" w:rsidRDefault="006E3EE1" w:rsidP="00A40A83">
      <w:pPr>
        <w:keepNext/>
        <w:spacing w:before="240" w:after="60" w:line="240" w:lineRule="auto"/>
        <w:ind w:left="709"/>
        <w:outlineLvl w:val="0"/>
        <w:rPr>
          <w:rFonts w:ascii="Times New Roman" w:eastAsia="Times New Roman" w:hAnsi="Times New Roman" w:cs="Times New Roman"/>
          <w:b/>
          <w:bCs/>
          <w:kern w:val="32"/>
          <w:sz w:val="32"/>
          <w:szCs w:val="32"/>
          <w:lang w:eastAsia="pl-PL"/>
        </w:rPr>
      </w:pPr>
      <w:bookmarkStart w:id="6" w:name="_Toc423398335"/>
      <w:r w:rsidRPr="00D82528">
        <w:rPr>
          <w:rFonts w:ascii="Times New Roman" w:eastAsia="Times New Roman" w:hAnsi="Times New Roman" w:cs="Times New Roman"/>
          <w:b/>
          <w:bCs/>
          <w:kern w:val="32"/>
          <w:sz w:val="32"/>
          <w:szCs w:val="32"/>
          <w:lang w:eastAsia="pl-PL"/>
        </w:rPr>
        <w:t>6. KONTROLA JAKOŚCI ROBÓT</w:t>
      </w:r>
      <w:bookmarkEnd w:id="6"/>
    </w:p>
    <w:p w14:paraId="47AB2F22"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6.1. Ogólne zasady kontroli jakości robót</w:t>
      </w:r>
    </w:p>
    <w:p w14:paraId="0D3C04EF"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Ogólne zasady kontroli jakości robót podano w ST D-M-00.00.00 „Wymagania ogólne” pkt 6.</w:t>
      </w:r>
    </w:p>
    <w:p w14:paraId="5295EAE3"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lastRenderedPageBreak/>
        <w:t>6.2. Badania przed przystąpieniem do robót</w:t>
      </w:r>
    </w:p>
    <w:p w14:paraId="5C60EACB"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Przed przystąpieniem do robót Wykonawca powinien wykonać badania kruszyw przeznaczonych do wykonania robót i przedstawić wyniki tych badań Inżynierowi w celu akceptacji.</w:t>
      </w:r>
    </w:p>
    <w:p w14:paraId="0D1C4FE8"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Badania te powinny obejmować wszystkie właściwości kruszywa określone w   pkt 2.3 i tablicach 1 i 2 niniejszych ST.</w:t>
      </w:r>
    </w:p>
    <w:p w14:paraId="123228D0"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6.3. Badania w czasie robót</w:t>
      </w:r>
    </w:p>
    <w:p w14:paraId="29546983"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b/>
          <w:sz w:val="24"/>
          <w:szCs w:val="24"/>
          <w:lang w:eastAsia="pl-PL"/>
        </w:rPr>
        <w:t xml:space="preserve">6.3.1. </w:t>
      </w:r>
      <w:r w:rsidRPr="00D82528">
        <w:rPr>
          <w:rFonts w:ascii="Times New Roman" w:eastAsia="Times New Roman" w:hAnsi="Times New Roman" w:cs="Times New Roman"/>
          <w:sz w:val="24"/>
          <w:szCs w:val="24"/>
          <w:lang w:eastAsia="pl-PL"/>
        </w:rPr>
        <w:t>Częstotliwość oraz zakres badań i pomiarów</w:t>
      </w:r>
    </w:p>
    <w:p w14:paraId="2660980A" w14:textId="77777777" w:rsidR="006E3EE1" w:rsidRPr="00D82528" w:rsidRDefault="006E3EE1" w:rsidP="00A40A83">
      <w:pPr>
        <w:spacing w:before="120"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Częstotliwość oraz zakres badań podano w tablicy 3.</w:t>
      </w:r>
    </w:p>
    <w:p w14:paraId="62B57C1E" w14:textId="77777777" w:rsidR="006E3EE1" w:rsidRPr="00D82528" w:rsidRDefault="006E3EE1" w:rsidP="00A40A83">
      <w:pPr>
        <w:spacing w:after="120" w:line="240" w:lineRule="auto"/>
        <w:ind w:left="709"/>
        <w:rPr>
          <w:rFonts w:ascii="Times New Roman" w:eastAsia="Times New Roman" w:hAnsi="Times New Roman" w:cs="Times New Roman"/>
          <w:sz w:val="24"/>
          <w:szCs w:val="24"/>
          <w:lang w:eastAsia="pl-PL"/>
        </w:rPr>
      </w:pPr>
    </w:p>
    <w:p w14:paraId="6767657C" w14:textId="77777777" w:rsidR="006E3EE1" w:rsidRPr="00D82528" w:rsidRDefault="006E3EE1" w:rsidP="00A40A83">
      <w:pPr>
        <w:spacing w:after="12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Tablica 3.Częstotliwość oraz zakres badań przy budowie podbudowy z tłucznia kamiennego</w:t>
      </w:r>
    </w:p>
    <w:tbl>
      <w:tblPr>
        <w:tblW w:w="0" w:type="auto"/>
        <w:tblLayout w:type="fixed"/>
        <w:tblCellMar>
          <w:left w:w="70" w:type="dxa"/>
          <w:right w:w="70" w:type="dxa"/>
        </w:tblCellMar>
        <w:tblLook w:val="0000" w:firstRow="0" w:lastRow="0" w:firstColumn="0" w:lastColumn="0" w:noHBand="0" w:noVBand="0"/>
      </w:tblPr>
      <w:tblGrid>
        <w:gridCol w:w="496"/>
        <w:gridCol w:w="4252"/>
        <w:gridCol w:w="4820"/>
      </w:tblGrid>
      <w:tr w:rsidR="006E3EE1" w:rsidRPr="00D82528" w14:paraId="15AE01B1" w14:textId="77777777" w:rsidTr="0074785C">
        <w:tc>
          <w:tcPr>
            <w:tcW w:w="496" w:type="dxa"/>
            <w:tcBorders>
              <w:top w:val="single" w:sz="6" w:space="0" w:color="auto"/>
              <w:left w:val="single" w:sz="6" w:space="0" w:color="auto"/>
            </w:tcBorders>
          </w:tcPr>
          <w:p w14:paraId="04AD370B"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p>
        </w:tc>
        <w:tc>
          <w:tcPr>
            <w:tcW w:w="4252" w:type="dxa"/>
            <w:tcBorders>
              <w:top w:val="single" w:sz="6" w:space="0" w:color="auto"/>
              <w:left w:val="single" w:sz="6" w:space="0" w:color="auto"/>
            </w:tcBorders>
          </w:tcPr>
          <w:p w14:paraId="0425512E"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p>
        </w:tc>
        <w:tc>
          <w:tcPr>
            <w:tcW w:w="4820" w:type="dxa"/>
            <w:vMerge w:val="restart"/>
            <w:tcBorders>
              <w:top w:val="single" w:sz="6" w:space="0" w:color="auto"/>
              <w:left w:val="single" w:sz="6" w:space="0" w:color="auto"/>
              <w:right w:val="single" w:sz="6" w:space="0" w:color="auto"/>
            </w:tcBorders>
          </w:tcPr>
          <w:p w14:paraId="26A7FD52"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Częstotliwość badań</w:t>
            </w:r>
          </w:p>
        </w:tc>
      </w:tr>
      <w:tr w:rsidR="006E3EE1" w:rsidRPr="00D82528" w14:paraId="0F669145" w14:textId="77777777" w:rsidTr="0074785C">
        <w:tc>
          <w:tcPr>
            <w:tcW w:w="496" w:type="dxa"/>
            <w:tcBorders>
              <w:left w:val="single" w:sz="6" w:space="0" w:color="auto"/>
              <w:bottom w:val="double" w:sz="6" w:space="0" w:color="auto"/>
              <w:right w:val="single" w:sz="6" w:space="0" w:color="auto"/>
            </w:tcBorders>
          </w:tcPr>
          <w:p w14:paraId="4F83A10B" w14:textId="77777777" w:rsidR="006E3EE1" w:rsidRPr="00D82528" w:rsidRDefault="006E3EE1" w:rsidP="00A40A83">
            <w:pPr>
              <w:spacing w:before="60"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Lp.</w:t>
            </w:r>
          </w:p>
        </w:tc>
        <w:tc>
          <w:tcPr>
            <w:tcW w:w="4252" w:type="dxa"/>
            <w:tcBorders>
              <w:left w:val="nil"/>
              <w:bottom w:val="double" w:sz="6" w:space="0" w:color="auto"/>
            </w:tcBorders>
          </w:tcPr>
          <w:p w14:paraId="07C5F040" w14:textId="77777777" w:rsidR="006E3EE1" w:rsidRPr="00D82528" w:rsidRDefault="006E3EE1" w:rsidP="00A40A83">
            <w:pPr>
              <w:spacing w:before="60"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Wyszczególnienie badań</w:t>
            </w:r>
          </w:p>
        </w:tc>
        <w:tc>
          <w:tcPr>
            <w:tcW w:w="4820" w:type="dxa"/>
            <w:vMerge/>
            <w:tcBorders>
              <w:left w:val="single" w:sz="6" w:space="0" w:color="auto"/>
              <w:bottom w:val="double" w:sz="6" w:space="0" w:color="auto"/>
              <w:right w:val="single" w:sz="6" w:space="0" w:color="auto"/>
            </w:tcBorders>
          </w:tcPr>
          <w:p w14:paraId="4F9E8524"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p>
        </w:tc>
      </w:tr>
      <w:tr w:rsidR="006E3EE1" w:rsidRPr="00D82528" w14:paraId="0B884323" w14:textId="77777777" w:rsidTr="0074785C">
        <w:tc>
          <w:tcPr>
            <w:tcW w:w="496" w:type="dxa"/>
            <w:tcBorders>
              <w:left w:val="single" w:sz="6" w:space="0" w:color="auto"/>
              <w:bottom w:val="single" w:sz="6" w:space="0" w:color="auto"/>
              <w:right w:val="single" w:sz="6" w:space="0" w:color="auto"/>
            </w:tcBorders>
          </w:tcPr>
          <w:p w14:paraId="6CDFB9B6" w14:textId="77777777" w:rsidR="006E3EE1" w:rsidRPr="00D82528" w:rsidRDefault="006E3EE1" w:rsidP="00A40A83">
            <w:pPr>
              <w:spacing w:before="60"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1</w:t>
            </w:r>
          </w:p>
          <w:p w14:paraId="5DE47D6A"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2</w:t>
            </w:r>
          </w:p>
          <w:p w14:paraId="21AC46EB"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3</w:t>
            </w:r>
          </w:p>
        </w:tc>
        <w:tc>
          <w:tcPr>
            <w:tcW w:w="4252" w:type="dxa"/>
            <w:tcBorders>
              <w:left w:val="single" w:sz="6" w:space="0" w:color="auto"/>
              <w:bottom w:val="single" w:sz="6" w:space="0" w:color="auto"/>
              <w:right w:val="single" w:sz="6" w:space="0" w:color="auto"/>
            </w:tcBorders>
          </w:tcPr>
          <w:p w14:paraId="69295F10" w14:textId="77777777" w:rsidR="006E3EE1" w:rsidRPr="00D82528" w:rsidRDefault="006E3EE1" w:rsidP="00A40A83">
            <w:pPr>
              <w:spacing w:before="60"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Uziarnienie kruszyw</w:t>
            </w:r>
          </w:p>
          <w:p w14:paraId="7330E3C4"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Zawartość zanieczyszczeń obcych w kruszywie</w:t>
            </w:r>
          </w:p>
          <w:p w14:paraId="359ED92E" w14:textId="77777777" w:rsidR="006E3EE1" w:rsidRPr="00D82528" w:rsidRDefault="006E3EE1" w:rsidP="00A40A83">
            <w:pPr>
              <w:spacing w:after="6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Zawartość ziarn nieforemnych w kruszywie</w:t>
            </w:r>
          </w:p>
        </w:tc>
        <w:tc>
          <w:tcPr>
            <w:tcW w:w="4820" w:type="dxa"/>
            <w:vMerge w:val="restart"/>
            <w:tcBorders>
              <w:left w:val="single" w:sz="6" w:space="0" w:color="auto"/>
              <w:right w:val="single" w:sz="6" w:space="0" w:color="auto"/>
            </w:tcBorders>
            <w:vAlign w:val="center"/>
          </w:tcPr>
          <w:p w14:paraId="29FE80AB"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Należy przebadać materiał raz przed dopuszczeniem do wbudowania. </w:t>
            </w:r>
          </w:p>
          <w:p w14:paraId="239AFA7D" w14:textId="77777777" w:rsidR="006E3EE1" w:rsidRPr="00D82528" w:rsidRDefault="006E3EE1" w:rsidP="00A40A83">
            <w:pPr>
              <w:overflowPunct w:val="0"/>
              <w:autoSpaceDE w:val="0"/>
              <w:autoSpaceDN w:val="0"/>
              <w:adjustRightInd w:val="0"/>
              <w:spacing w:after="0" w:line="240" w:lineRule="auto"/>
              <w:ind w:left="709"/>
              <w:jc w:val="center"/>
              <w:textAlignment w:val="baseline"/>
              <w:rPr>
                <w:rFonts w:ascii="Times New Roman" w:eastAsia="Times New Roman" w:hAnsi="Times New Roman" w:cs="Times New Roman"/>
                <w:sz w:val="24"/>
                <w:szCs w:val="24"/>
                <w:lang w:eastAsia="pl-PL"/>
              </w:rPr>
            </w:pPr>
          </w:p>
        </w:tc>
      </w:tr>
      <w:tr w:rsidR="006E3EE1" w:rsidRPr="00D82528" w14:paraId="50ECAEFF" w14:textId="77777777" w:rsidTr="0074785C">
        <w:tc>
          <w:tcPr>
            <w:tcW w:w="496" w:type="dxa"/>
            <w:tcBorders>
              <w:top w:val="single" w:sz="6" w:space="0" w:color="auto"/>
              <w:left w:val="single" w:sz="6" w:space="0" w:color="auto"/>
              <w:bottom w:val="single" w:sz="6" w:space="0" w:color="auto"/>
              <w:right w:val="single" w:sz="6" w:space="0" w:color="auto"/>
            </w:tcBorders>
          </w:tcPr>
          <w:p w14:paraId="05845243" w14:textId="77777777" w:rsidR="006E3EE1" w:rsidRPr="00D82528" w:rsidRDefault="006E3EE1" w:rsidP="00A40A83">
            <w:pPr>
              <w:spacing w:before="60"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4</w:t>
            </w:r>
          </w:p>
          <w:p w14:paraId="40547ED3"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5</w:t>
            </w:r>
          </w:p>
          <w:p w14:paraId="04923E1F"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6</w:t>
            </w:r>
          </w:p>
          <w:p w14:paraId="7965DA17"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7</w:t>
            </w:r>
          </w:p>
        </w:tc>
        <w:tc>
          <w:tcPr>
            <w:tcW w:w="4252" w:type="dxa"/>
            <w:tcBorders>
              <w:top w:val="single" w:sz="6" w:space="0" w:color="auto"/>
              <w:left w:val="single" w:sz="6" w:space="0" w:color="auto"/>
              <w:bottom w:val="single" w:sz="6" w:space="0" w:color="auto"/>
              <w:right w:val="single" w:sz="6" w:space="0" w:color="auto"/>
            </w:tcBorders>
          </w:tcPr>
          <w:p w14:paraId="536C9259" w14:textId="77777777" w:rsidR="006E3EE1" w:rsidRPr="00D82528" w:rsidRDefault="006E3EE1" w:rsidP="00A40A83">
            <w:pPr>
              <w:spacing w:before="60"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Ścieralność kruszywa</w:t>
            </w:r>
          </w:p>
          <w:p w14:paraId="0737530D"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Nasiąkliwość kruszywa</w:t>
            </w:r>
          </w:p>
          <w:p w14:paraId="7079D0B8"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Odporność kruszywa na działanie mrozu</w:t>
            </w:r>
          </w:p>
          <w:p w14:paraId="0C490920" w14:textId="77777777" w:rsidR="006E3EE1" w:rsidRPr="00D82528" w:rsidRDefault="006E3EE1" w:rsidP="00A40A83">
            <w:pPr>
              <w:spacing w:after="6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Zawartość zanieczyszczeń organicznych</w:t>
            </w:r>
          </w:p>
        </w:tc>
        <w:tc>
          <w:tcPr>
            <w:tcW w:w="4820" w:type="dxa"/>
            <w:vMerge/>
            <w:tcBorders>
              <w:left w:val="single" w:sz="6" w:space="0" w:color="auto"/>
              <w:bottom w:val="single" w:sz="6" w:space="0" w:color="auto"/>
              <w:right w:val="single" w:sz="6" w:space="0" w:color="auto"/>
            </w:tcBorders>
          </w:tcPr>
          <w:p w14:paraId="68EFC1DA"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p>
        </w:tc>
      </w:tr>
    </w:tbl>
    <w:p w14:paraId="23024E92"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p>
    <w:p w14:paraId="2A8CFA07"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b/>
          <w:sz w:val="24"/>
          <w:szCs w:val="24"/>
          <w:lang w:eastAsia="pl-PL"/>
        </w:rPr>
        <w:t>6.3.2. Badania właściwości kruszywa</w:t>
      </w:r>
    </w:p>
    <w:p w14:paraId="7D60A0DA" w14:textId="77777777" w:rsidR="006E3EE1" w:rsidRPr="00D82528" w:rsidRDefault="006E3EE1" w:rsidP="00A40A83">
      <w:pPr>
        <w:spacing w:before="120"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Próbki należy pobierać w sposób losowy z rozłożonej warstwy, przed jej zagęszczeniem. Wyniki badań powinny być na bieżąco przekazywane Inżynierowi.</w:t>
      </w:r>
    </w:p>
    <w:p w14:paraId="7F07C1E1" w14:textId="11EEB774"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Badania pełne kruszywa, obejmujące ocenę wszystkich właściwości określonych w pkt 2.3 powinny być wykonywane przez Wykonawcę z częstotliwością gwarantującą zachowanie jakości robót i zawsze w przypadku zmiany źródła pobierania materiałów oraz na polecenie In</w:t>
      </w:r>
      <w:r w:rsidR="00CF16B2">
        <w:rPr>
          <w:rFonts w:ascii="Times New Roman" w:eastAsia="Times New Roman" w:hAnsi="Times New Roman" w:cs="Times New Roman"/>
          <w:sz w:val="24"/>
          <w:szCs w:val="24"/>
          <w:lang w:eastAsia="pl-PL"/>
        </w:rPr>
        <w:t>spektora</w:t>
      </w:r>
      <w:r w:rsidRPr="00D82528">
        <w:rPr>
          <w:rFonts w:ascii="Times New Roman" w:eastAsia="Times New Roman" w:hAnsi="Times New Roman" w:cs="Times New Roman"/>
          <w:sz w:val="24"/>
          <w:szCs w:val="24"/>
          <w:lang w:eastAsia="pl-PL"/>
        </w:rPr>
        <w:t>. Próbki do badań pełnych powinny być pobierane przez Wykonawcę w sposób losowy, w obecności In</w:t>
      </w:r>
      <w:r w:rsidR="00CF16B2">
        <w:rPr>
          <w:rFonts w:ascii="Times New Roman" w:eastAsia="Times New Roman" w:hAnsi="Times New Roman" w:cs="Times New Roman"/>
          <w:sz w:val="24"/>
          <w:szCs w:val="24"/>
          <w:lang w:eastAsia="pl-PL"/>
        </w:rPr>
        <w:t>spektora</w:t>
      </w:r>
      <w:r w:rsidRPr="00D82528">
        <w:rPr>
          <w:rFonts w:ascii="Times New Roman" w:eastAsia="Times New Roman" w:hAnsi="Times New Roman" w:cs="Times New Roman"/>
          <w:sz w:val="24"/>
          <w:szCs w:val="24"/>
          <w:lang w:eastAsia="pl-PL"/>
        </w:rPr>
        <w:t>.</w:t>
      </w:r>
    </w:p>
    <w:p w14:paraId="67A5CA26"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6.4. Wymagania dotyczące nośności i cech geometrycznych podbudowy</w:t>
      </w:r>
    </w:p>
    <w:p w14:paraId="5E4905EB"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b/>
          <w:sz w:val="24"/>
          <w:szCs w:val="24"/>
          <w:lang w:eastAsia="pl-PL"/>
        </w:rPr>
        <w:t>6.4.1. Częstotliwość oraz zakres pomiarów</w:t>
      </w:r>
    </w:p>
    <w:p w14:paraId="3274FAB6" w14:textId="77777777" w:rsidR="006E3EE1" w:rsidRPr="00D82528" w:rsidRDefault="006E3EE1" w:rsidP="00A40A83">
      <w:pPr>
        <w:spacing w:before="120"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 xml:space="preserve"> Częstotliwość oraz zakres pomiarów podano w tablicy 4.</w:t>
      </w:r>
    </w:p>
    <w:p w14:paraId="4CC2F900" w14:textId="77777777" w:rsidR="006E3EE1" w:rsidRPr="00D82528" w:rsidRDefault="006E3EE1" w:rsidP="00A40A83">
      <w:pPr>
        <w:spacing w:before="120"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Tablica 4. Częstotliwość oraz zakres pomiarów wykonanej podbudowy z tłucznia</w:t>
      </w:r>
    </w:p>
    <w:p w14:paraId="6ED74984" w14:textId="77777777" w:rsidR="006E3EE1" w:rsidRPr="00D82528" w:rsidRDefault="006E3EE1" w:rsidP="00A40A83">
      <w:pPr>
        <w:spacing w:after="12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 xml:space="preserve">   kamiennego</w:t>
      </w:r>
    </w:p>
    <w:tbl>
      <w:tblPr>
        <w:tblW w:w="98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0"/>
        <w:gridCol w:w="3675"/>
        <w:gridCol w:w="5387"/>
      </w:tblGrid>
      <w:tr w:rsidR="006E3EE1" w:rsidRPr="00D82528" w14:paraId="44DEDBEB" w14:textId="77777777" w:rsidTr="0074785C">
        <w:tc>
          <w:tcPr>
            <w:tcW w:w="790" w:type="dxa"/>
            <w:tcBorders>
              <w:bottom w:val="double" w:sz="6" w:space="0" w:color="auto"/>
            </w:tcBorders>
          </w:tcPr>
          <w:p w14:paraId="542C48F5" w14:textId="77777777" w:rsidR="006E3EE1" w:rsidRPr="00D82528" w:rsidRDefault="006E3EE1" w:rsidP="00A40A83">
            <w:pPr>
              <w:spacing w:before="60" w:after="60" w:line="240" w:lineRule="auto"/>
              <w:ind w:left="709" w:right="-11"/>
              <w:jc w:val="center"/>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lastRenderedPageBreak/>
              <w:t>Lp.</w:t>
            </w:r>
          </w:p>
        </w:tc>
        <w:tc>
          <w:tcPr>
            <w:tcW w:w="3675" w:type="dxa"/>
            <w:tcBorders>
              <w:bottom w:val="double" w:sz="6" w:space="0" w:color="auto"/>
            </w:tcBorders>
          </w:tcPr>
          <w:p w14:paraId="41F7D085" w14:textId="77777777" w:rsidR="006E3EE1" w:rsidRPr="00D82528" w:rsidRDefault="006E3EE1" w:rsidP="00A40A83">
            <w:pPr>
              <w:spacing w:before="60" w:after="60" w:line="240" w:lineRule="auto"/>
              <w:ind w:left="709" w:right="-11"/>
              <w:jc w:val="center"/>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Wyszczególnienie badań i pomiarów</w:t>
            </w:r>
          </w:p>
        </w:tc>
        <w:tc>
          <w:tcPr>
            <w:tcW w:w="5387" w:type="dxa"/>
            <w:tcBorders>
              <w:bottom w:val="double" w:sz="6" w:space="0" w:color="auto"/>
            </w:tcBorders>
          </w:tcPr>
          <w:p w14:paraId="5B075F46" w14:textId="77777777" w:rsidR="006E3EE1" w:rsidRPr="00D82528" w:rsidRDefault="006E3EE1" w:rsidP="00A40A83">
            <w:pPr>
              <w:spacing w:before="60" w:after="60" w:line="240" w:lineRule="auto"/>
              <w:ind w:left="709" w:right="-11"/>
              <w:jc w:val="center"/>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Minimalna częstotliwość pomiarów</w:t>
            </w:r>
          </w:p>
        </w:tc>
      </w:tr>
      <w:tr w:rsidR="006E3EE1" w:rsidRPr="00D82528" w14:paraId="7908C625" w14:textId="77777777" w:rsidTr="0074785C">
        <w:tc>
          <w:tcPr>
            <w:tcW w:w="790" w:type="dxa"/>
            <w:tcBorders>
              <w:top w:val="nil"/>
            </w:tcBorders>
          </w:tcPr>
          <w:p w14:paraId="34A797E5" w14:textId="77777777" w:rsidR="006E3EE1" w:rsidRPr="00D82528" w:rsidRDefault="006E3EE1" w:rsidP="00A40A83">
            <w:pPr>
              <w:spacing w:before="60" w:after="60" w:line="240" w:lineRule="auto"/>
              <w:ind w:left="709" w:right="-14"/>
              <w:jc w:val="center"/>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1</w:t>
            </w:r>
          </w:p>
        </w:tc>
        <w:tc>
          <w:tcPr>
            <w:tcW w:w="3675" w:type="dxa"/>
            <w:tcBorders>
              <w:top w:val="nil"/>
            </w:tcBorders>
          </w:tcPr>
          <w:p w14:paraId="1C7AF7A6" w14:textId="77777777" w:rsidR="006E3EE1" w:rsidRPr="00D82528" w:rsidRDefault="006E3EE1" w:rsidP="00A40A83">
            <w:pPr>
              <w:spacing w:before="60" w:after="60" w:line="240" w:lineRule="auto"/>
              <w:ind w:left="709" w:right="-14"/>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Szerokość podbudowy</w:t>
            </w:r>
          </w:p>
        </w:tc>
        <w:tc>
          <w:tcPr>
            <w:tcW w:w="5387" w:type="dxa"/>
            <w:tcBorders>
              <w:top w:val="nil"/>
            </w:tcBorders>
          </w:tcPr>
          <w:p w14:paraId="347B4B69" w14:textId="77777777" w:rsidR="006E3EE1" w:rsidRPr="00D82528" w:rsidRDefault="006E3EE1" w:rsidP="00A40A83">
            <w:pPr>
              <w:spacing w:before="60" w:after="60" w:line="240" w:lineRule="auto"/>
              <w:ind w:left="709" w:right="-14"/>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 xml:space="preserve">2 razy </w:t>
            </w:r>
          </w:p>
        </w:tc>
      </w:tr>
      <w:tr w:rsidR="006E3EE1" w:rsidRPr="00D82528" w14:paraId="1B550186" w14:textId="77777777" w:rsidTr="0074785C">
        <w:tc>
          <w:tcPr>
            <w:tcW w:w="790" w:type="dxa"/>
          </w:tcPr>
          <w:p w14:paraId="60A672D3" w14:textId="77777777" w:rsidR="006E3EE1" w:rsidRPr="00D82528" w:rsidRDefault="006E3EE1" w:rsidP="00A40A83">
            <w:pPr>
              <w:spacing w:before="180" w:after="60" w:line="240" w:lineRule="auto"/>
              <w:ind w:left="709" w:right="-11"/>
              <w:jc w:val="center"/>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2</w:t>
            </w:r>
          </w:p>
        </w:tc>
        <w:tc>
          <w:tcPr>
            <w:tcW w:w="3675" w:type="dxa"/>
          </w:tcPr>
          <w:p w14:paraId="6C8FEC61" w14:textId="77777777" w:rsidR="006E3EE1" w:rsidRPr="00D82528" w:rsidRDefault="006E3EE1" w:rsidP="00A40A83">
            <w:pPr>
              <w:spacing w:before="180" w:after="60" w:line="240" w:lineRule="auto"/>
              <w:ind w:left="709" w:right="-11"/>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Równość podłużna</w:t>
            </w:r>
          </w:p>
        </w:tc>
        <w:tc>
          <w:tcPr>
            <w:tcW w:w="5387" w:type="dxa"/>
          </w:tcPr>
          <w:p w14:paraId="686C3C5F" w14:textId="77777777" w:rsidR="006E3EE1" w:rsidRPr="00D82528" w:rsidRDefault="006E3EE1" w:rsidP="00A40A83">
            <w:pPr>
              <w:spacing w:before="60" w:after="60" w:line="240" w:lineRule="auto"/>
              <w:ind w:left="709" w:right="-14"/>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 xml:space="preserve">w sposób ciągły planografem albo co </w:t>
            </w:r>
            <w:smartTag w:uri="urn:schemas-microsoft-com:office:smarttags" w:element="metricconverter">
              <w:smartTagPr>
                <w:attr w:name="ProductID" w:val="20 m"/>
              </w:smartTagPr>
              <w:r w:rsidRPr="00D82528">
                <w:rPr>
                  <w:rFonts w:ascii="Times New Roman" w:eastAsia="Times New Roman" w:hAnsi="Times New Roman" w:cs="Times New Roman"/>
                  <w:sz w:val="24"/>
                  <w:szCs w:val="24"/>
                  <w:lang w:eastAsia="pl-PL"/>
                </w:rPr>
                <w:t>20 m</w:t>
              </w:r>
            </w:smartTag>
            <w:r w:rsidRPr="00D82528">
              <w:rPr>
                <w:rFonts w:ascii="Times New Roman" w:eastAsia="Times New Roman" w:hAnsi="Times New Roman" w:cs="Times New Roman"/>
                <w:sz w:val="24"/>
                <w:szCs w:val="24"/>
                <w:lang w:eastAsia="pl-PL"/>
              </w:rPr>
              <w:t xml:space="preserve"> łatą na każdym pasie ruchu</w:t>
            </w:r>
          </w:p>
        </w:tc>
      </w:tr>
      <w:tr w:rsidR="006E3EE1" w:rsidRPr="00D82528" w14:paraId="455149AD" w14:textId="77777777" w:rsidTr="0074785C">
        <w:tc>
          <w:tcPr>
            <w:tcW w:w="790" w:type="dxa"/>
          </w:tcPr>
          <w:p w14:paraId="27283292" w14:textId="77777777" w:rsidR="006E3EE1" w:rsidRPr="00D82528" w:rsidRDefault="006E3EE1" w:rsidP="00A40A83">
            <w:pPr>
              <w:spacing w:before="60" w:after="60" w:line="240" w:lineRule="auto"/>
              <w:ind w:left="709" w:right="-14"/>
              <w:jc w:val="center"/>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3</w:t>
            </w:r>
          </w:p>
        </w:tc>
        <w:tc>
          <w:tcPr>
            <w:tcW w:w="3675" w:type="dxa"/>
          </w:tcPr>
          <w:p w14:paraId="4C28CA0E" w14:textId="77777777" w:rsidR="006E3EE1" w:rsidRPr="00D82528" w:rsidRDefault="006E3EE1" w:rsidP="00A40A83">
            <w:pPr>
              <w:spacing w:before="60" w:after="60" w:line="240" w:lineRule="auto"/>
              <w:ind w:left="709" w:right="-14"/>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Równość poprzeczna</w:t>
            </w:r>
          </w:p>
        </w:tc>
        <w:tc>
          <w:tcPr>
            <w:tcW w:w="5387" w:type="dxa"/>
          </w:tcPr>
          <w:p w14:paraId="53DC4BB5" w14:textId="77777777" w:rsidR="006E3EE1" w:rsidRPr="00D82528" w:rsidRDefault="006E3EE1" w:rsidP="00A40A83">
            <w:pPr>
              <w:spacing w:before="60" w:after="60" w:line="240" w:lineRule="auto"/>
              <w:ind w:left="709" w:right="-14"/>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2 razy </w:t>
            </w:r>
          </w:p>
        </w:tc>
      </w:tr>
      <w:tr w:rsidR="006E3EE1" w:rsidRPr="00D82528" w14:paraId="6BA87AEC" w14:textId="77777777" w:rsidTr="0074785C">
        <w:tc>
          <w:tcPr>
            <w:tcW w:w="790" w:type="dxa"/>
          </w:tcPr>
          <w:p w14:paraId="5A845367" w14:textId="77777777" w:rsidR="006E3EE1" w:rsidRPr="00D82528" w:rsidRDefault="006E3EE1" w:rsidP="00A40A83">
            <w:pPr>
              <w:spacing w:before="60" w:after="60" w:line="240" w:lineRule="auto"/>
              <w:ind w:left="709" w:right="-14"/>
              <w:jc w:val="center"/>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4</w:t>
            </w:r>
          </w:p>
        </w:tc>
        <w:tc>
          <w:tcPr>
            <w:tcW w:w="3675" w:type="dxa"/>
          </w:tcPr>
          <w:p w14:paraId="2180834A" w14:textId="77777777" w:rsidR="006E3EE1" w:rsidRPr="00D82528" w:rsidRDefault="006E3EE1" w:rsidP="00A40A83">
            <w:pPr>
              <w:spacing w:before="60" w:after="60" w:line="240" w:lineRule="auto"/>
              <w:ind w:left="709" w:right="-14"/>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Spadki poprzeczne*</w:t>
            </w:r>
            <w:r w:rsidRPr="00D82528">
              <w:rPr>
                <w:rFonts w:ascii="Times New Roman" w:eastAsia="Times New Roman" w:hAnsi="Times New Roman" w:cs="Times New Roman"/>
                <w:sz w:val="24"/>
                <w:szCs w:val="24"/>
                <w:vertAlign w:val="superscript"/>
                <w:lang w:eastAsia="pl-PL"/>
              </w:rPr>
              <w:t>)</w:t>
            </w:r>
          </w:p>
        </w:tc>
        <w:tc>
          <w:tcPr>
            <w:tcW w:w="5387" w:type="dxa"/>
          </w:tcPr>
          <w:p w14:paraId="5A3984CC" w14:textId="77777777" w:rsidR="006E3EE1" w:rsidRPr="00D82528" w:rsidRDefault="006E3EE1" w:rsidP="00A40A83">
            <w:pPr>
              <w:spacing w:before="60" w:after="60" w:line="240" w:lineRule="auto"/>
              <w:ind w:left="709" w:right="-14"/>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 xml:space="preserve">2 razy na </w:t>
            </w:r>
            <w:smartTag w:uri="urn:schemas-microsoft-com:office:smarttags" w:element="metricconverter">
              <w:smartTagPr>
                <w:attr w:name="ProductID" w:val="1 km"/>
              </w:smartTagPr>
              <w:r w:rsidRPr="00D82528">
                <w:rPr>
                  <w:rFonts w:ascii="Times New Roman" w:eastAsia="Times New Roman" w:hAnsi="Times New Roman" w:cs="Times New Roman"/>
                  <w:sz w:val="24"/>
                  <w:szCs w:val="24"/>
                  <w:lang w:eastAsia="pl-PL"/>
                </w:rPr>
                <w:t>1 km</w:t>
              </w:r>
            </w:smartTag>
          </w:p>
        </w:tc>
      </w:tr>
      <w:tr w:rsidR="006E3EE1" w:rsidRPr="00D82528" w14:paraId="320119B5" w14:textId="77777777" w:rsidTr="0074785C">
        <w:tc>
          <w:tcPr>
            <w:tcW w:w="790" w:type="dxa"/>
          </w:tcPr>
          <w:p w14:paraId="39809065" w14:textId="77777777" w:rsidR="006E3EE1" w:rsidRPr="00D82528" w:rsidRDefault="006E3EE1" w:rsidP="00A40A83">
            <w:pPr>
              <w:spacing w:before="180" w:after="60" w:line="240" w:lineRule="auto"/>
              <w:ind w:left="709" w:right="-11"/>
              <w:jc w:val="center"/>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5</w:t>
            </w:r>
          </w:p>
        </w:tc>
        <w:tc>
          <w:tcPr>
            <w:tcW w:w="3675" w:type="dxa"/>
          </w:tcPr>
          <w:p w14:paraId="14303275" w14:textId="77777777" w:rsidR="006E3EE1" w:rsidRPr="00D82528" w:rsidRDefault="006E3EE1" w:rsidP="00A40A83">
            <w:pPr>
              <w:spacing w:before="180" w:after="60" w:line="240" w:lineRule="auto"/>
              <w:ind w:left="709" w:right="-11"/>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Rzędne wysokościowe</w:t>
            </w:r>
          </w:p>
        </w:tc>
        <w:tc>
          <w:tcPr>
            <w:tcW w:w="5387" w:type="dxa"/>
          </w:tcPr>
          <w:p w14:paraId="180C7C16" w14:textId="77777777" w:rsidR="006E3EE1" w:rsidRPr="00D82528" w:rsidRDefault="006E3EE1" w:rsidP="00A40A83">
            <w:pPr>
              <w:spacing w:before="60" w:after="60" w:line="240" w:lineRule="auto"/>
              <w:ind w:left="709" w:right="-14"/>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 xml:space="preserve">co </w:t>
            </w:r>
            <w:smartTag w:uri="urn:schemas-microsoft-com:office:smarttags" w:element="metricconverter">
              <w:smartTagPr>
                <w:attr w:name="ProductID" w:val="100 m"/>
              </w:smartTagPr>
              <w:r w:rsidRPr="00D82528">
                <w:rPr>
                  <w:rFonts w:ascii="Times New Roman" w:eastAsia="Times New Roman" w:hAnsi="Times New Roman" w:cs="Times New Roman"/>
                  <w:sz w:val="24"/>
                  <w:szCs w:val="24"/>
                  <w:lang w:eastAsia="pl-PL"/>
                </w:rPr>
                <w:t>100 m</w:t>
              </w:r>
            </w:smartTag>
            <w:r w:rsidRPr="00D82528">
              <w:rPr>
                <w:rFonts w:ascii="Times New Roman" w:eastAsia="Times New Roman" w:hAnsi="Times New Roman" w:cs="Times New Roman"/>
                <w:sz w:val="24"/>
                <w:szCs w:val="24"/>
                <w:lang w:eastAsia="pl-PL"/>
              </w:rPr>
              <w:t xml:space="preserve"> w osi jezdni i na jej krawędziach</w:t>
            </w:r>
          </w:p>
        </w:tc>
      </w:tr>
    </w:tbl>
    <w:p w14:paraId="6F43F3B1"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p>
    <w:tbl>
      <w:tblPr>
        <w:tblW w:w="98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0"/>
        <w:gridCol w:w="3675"/>
        <w:gridCol w:w="5387"/>
      </w:tblGrid>
      <w:tr w:rsidR="006E3EE1" w:rsidRPr="00D82528" w14:paraId="5A7BC536" w14:textId="77777777" w:rsidTr="0074785C">
        <w:tc>
          <w:tcPr>
            <w:tcW w:w="790" w:type="dxa"/>
          </w:tcPr>
          <w:p w14:paraId="1CE8BD52" w14:textId="77777777" w:rsidR="006E3EE1" w:rsidRPr="00D82528" w:rsidRDefault="006E3EE1" w:rsidP="00A40A83">
            <w:pPr>
              <w:spacing w:before="60" w:after="60" w:line="240" w:lineRule="auto"/>
              <w:ind w:left="709" w:right="-14"/>
              <w:jc w:val="center"/>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6</w:t>
            </w:r>
          </w:p>
        </w:tc>
        <w:tc>
          <w:tcPr>
            <w:tcW w:w="3675" w:type="dxa"/>
          </w:tcPr>
          <w:p w14:paraId="27B3BB8C" w14:textId="77777777" w:rsidR="006E3EE1" w:rsidRPr="00D82528" w:rsidRDefault="006E3EE1" w:rsidP="00A40A83">
            <w:pPr>
              <w:spacing w:before="60" w:after="60" w:line="240" w:lineRule="auto"/>
              <w:ind w:left="709" w:right="-14"/>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Ukształtowanie osi w planie*</w:t>
            </w:r>
            <w:r w:rsidRPr="00D82528">
              <w:rPr>
                <w:rFonts w:ascii="Times New Roman" w:eastAsia="Times New Roman" w:hAnsi="Times New Roman" w:cs="Times New Roman"/>
                <w:sz w:val="24"/>
                <w:szCs w:val="24"/>
                <w:vertAlign w:val="superscript"/>
                <w:lang w:eastAsia="pl-PL"/>
              </w:rPr>
              <w:t>)</w:t>
            </w:r>
          </w:p>
        </w:tc>
        <w:tc>
          <w:tcPr>
            <w:tcW w:w="5387" w:type="dxa"/>
          </w:tcPr>
          <w:p w14:paraId="352EABA6" w14:textId="77777777" w:rsidR="006E3EE1" w:rsidRPr="00D82528" w:rsidRDefault="006E3EE1" w:rsidP="00A40A83">
            <w:pPr>
              <w:spacing w:before="60" w:after="60" w:line="240" w:lineRule="auto"/>
              <w:ind w:left="709" w:right="-14"/>
              <w:jc w:val="center"/>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 xml:space="preserve">co </w:t>
            </w:r>
            <w:smartTag w:uri="urn:schemas-microsoft-com:office:smarttags" w:element="metricconverter">
              <w:smartTagPr>
                <w:attr w:name="ProductID" w:val="100 m"/>
              </w:smartTagPr>
              <w:r w:rsidRPr="00D82528">
                <w:rPr>
                  <w:rFonts w:ascii="Times New Roman" w:eastAsia="Times New Roman" w:hAnsi="Times New Roman" w:cs="Times New Roman"/>
                  <w:sz w:val="24"/>
                  <w:szCs w:val="24"/>
                  <w:lang w:eastAsia="pl-PL"/>
                </w:rPr>
                <w:t>100 m</w:t>
              </w:r>
            </w:smartTag>
          </w:p>
        </w:tc>
      </w:tr>
      <w:tr w:rsidR="006E3EE1" w:rsidRPr="00D82528" w14:paraId="05EA5B4E" w14:textId="77777777" w:rsidTr="0074785C">
        <w:tc>
          <w:tcPr>
            <w:tcW w:w="790" w:type="dxa"/>
          </w:tcPr>
          <w:p w14:paraId="59499483" w14:textId="77777777" w:rsidR="006E3EE1" w:rsidRPr="00D82528" w:rsidRDefault="006E3EE1" w:rsidP="00A40A83">
            <w:pPr>
              <w:spacing w:before="60" w:after="60" w:line="240" w:lineRule="auto"/>
              <w:ind w:left="709" w:right="-14"/>
              <w:jc w:val="center"/>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7</w:t>
            </w:r>
          </w:p>
        </w:tc>
        <w:tc>
          <w:tcPr>
            <w:tcW w:w="3675" w:type="dxa"/>
          </w:tcPr>
          <w:p w14:paraId="76D35501" w14:textId="77777777" w:rsidR="006E3EE1" w:rsidRPr="00D82528" w:rsidRDefault="006E3EE1" w:rsidP="00A40A83">
            <w:pPr>
              <w:spacing w:before="60" w:after="60" w:line="240" w:lineRule="auto"/>
              <w:ind w:left="709" w:right="-14"/>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Grubość podbudowy</w:t>
            </w:r>
          </w:p>
        </w:tc>
        <w:tc>
          <w:tcPr>
            <w:tcW w:w="5387" w:type="dxa"/>
          </w:tcPr>
          <w:p w14:paraId="24710B64"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Podczas budowy:</w:t>
            </w:r>
          </w:p>
          <w:p w14:paraId="1FCEB0E7"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vertAlign w:val="superscript"/>
                <w:lang w:eastAsia="pl-PL"/>
              </w:rPr>
            </w:pPr>
            <w:r w:rsidRPr="00D82528">
              <w:rPr>
                <w:rFonts w:ascii="Times New Roman" w:eastAsia="Times New Roman" w:hAnsi="Times New Roman" w:cs="Times New Roman"/>
                <w:sz w:val="24"/>
                <w:szCs w:val="24"/>
                <w:lang w:eastAsia="pl-PL"/>
              </w:rPr>
              <w:t xml:space="preserve">w 3 punktach na każdej działce roboczej, lecz nie rzadziej niż raz na </w:t>
            </w:r>
            <w:smartTag w:uri="urn:schemas-microsoft-com:office:smarttags" w:element="metricconverter">
              <w:smartTagPr>
                <w:attr w:name="ProductID" w:val="400 m2"/>
              </w:smartTagPr>
              <w:r w:rsidRPr="00D82528">
                <w:rPr>
                  <w:rFonts w:ascii="Times New Roman" w:eastAsia="Times New Roman" w:hAnsi="Times New Roman" w:cs="Times New Roman"/>
                  <w:sz w:val="24"/>
                  <w:szCs w:val="24"/>
                  <w:lang w:eastAsia="pl-PL"/>
                </w:rPr>
                <w:t>400 m</w:t>
              </w:r>
              <w:r w:rsidRPr="00D82528">
                <w:rPr>
                  <w:rFonts w:ascii="Times New Roman" w:eastAsia="Times New Roman" w:hAnsi="Times New Roman" w:cs="Times New Roman"/>
                  <w:sz w:val="24"/>
                  <w:szCs w:val="24"/>
                  <w:vertAlign w:val="superscript"/>
                  <w:lang w:eastAsia="pl-PL"/>
                </w:rPr>
                <w:t>2</w:t>
              </w:r>
            </w:smartTag>
          </w:p>
          <w:p w14:paraId="576562E3"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Przed odbiorem:</w:t>
            </w:r>
          </w:p>
          <w:p w14:paraId="678F778D" w14:textId="77777777" w:rsidR="006E3EE1" w:rsidRPr="00D82528" w:rsidRDefault="006E3EE1" w:rsidP="00A40A83">
            <w:pPr>
              <w:spacing w:after="0" w:line="240" w:lineRule="auto"/>
              <w:ind w:left="709" w:right="-11"/>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 xml:space="preserve">w 3 punktach, lecz nie rzadziej niż raz na </w:t>
            </w:r>
            <w:smartTag w:uri="urn:schemas-microsoft-com:office:smarttags" w:element="metricconverter">
              <w:smartTagPr>
                <w:attr w:name="ProductID" w:val="2000 m2"/>
              </w:smartTagPr>
              <w:r w:rsidRPr="00D82528">
                <w:rPr>
                  <w:rFonts w:ascii="Times New Roman" w:eastAsia="Times New Roman" w:hAnsi="Times New Roman" w:cs="Times New Roman"/>
                  <w:sz w:val="24"/>
                  <w:szCs w:val="24"/>
                  <w:lang w:eastAsia="pl-PL"/>
                </w:rPr>
                <w:t>2000 m</w:t>
              </w:r>
              <w:r w:rsidRPr="00D82528">
                <w:rPr>
                  <w:rFonts w:ascii="Times New Roman" w:eastAsia="Times New Roman" w:hAnsi="Times New Roman" w:cs="Times New Roman"/>
                  <w:sz w:val="24"/>
                  <w:szCs w:val="24"/>
                  <w:vertAlign w:val="superscript"/>
                  <w:lang w:eastAsia="pl-PL"/>
                </w:rPr>
                <w:t>2</w:t>
              </w:r>
            </w:smartTag>
          </w:p>
        </w:tc>
      </w:tr>
      <w:tr w:rsidR="006E3EE1" w:rsidRPr="00D82528" w14:paraId="588D0026" w14:textId="77777777" w:rsidTr="0074785C">
        <w:tc>
          <w:tcPr>
            <w:tcW w:w="790" w:type="dxa"/>
          </w:tcPr>
          <w:p w14:paraId="0ABD7537" w14:textId="77777777" w:rsidR="006E3EE1" w:rsidRPr="00D82528" w:rsidRDefault="006E3EE1" w:rsidP="00A40A83">
            <w:pPr>
              <w:spacing w:before="60" w:after="60" w:line="240" w:lineRule="auto"/>
              <w:ind w:left="709" w:right="-14"/>
              <w:jc w:val="center"/>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8</w:t>
            </w:r>
          </w:p>
        </w:tc>
        <w:tc>
          <w:tcPr>
            <w:tcW w:w="3675" w:type="dxa"/>
          </w:tcPr>
          <w:p w14:paraId="21466319" w14:textId="77777777" w:rsidR="006E3EE1" w:rsidRPr="00D82528" w:rsidRDefault="006E3EE1" w:rsidP="00A40A83">
            <w:pPr>
              <w:spacing w:before="60" w:after="60" w:line="240" w:lineRule="auto"/>
              <w:ind w:left="709" w:right="-14"/>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Nośność podbudowy</w:t>
            </w:r>
          </w:p>
        </w:tc>
        <w:tc>
          <w:tcPr>
            <w:tcW w:w="5387" w:type="dxa"/>
          </w:tcPr>
          <w:p w14:paraId="24547EB1" w14:textId="77777777" w:rsidR="006E3EE1" w:rsidRPr="00D82528" w:rsidRDefault="006E3EE1" w:rsidP="00A40A83">
            <w:pPr>
              <w:spacing w:before="60" w:after="60" w:line="240" w:lineRule="auto"/>
              <w:ind w:left="709" w:right="-14"/>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 xml:space="preserve">nie rzadziej niż raz na </w:t>
            </w:r>
            <w:smartTag w:uri="urn:schemas-microsoft-com:office:smarttags" w:element="metricconverter">
              <w:smartTagPr>
                <w:attr w:name="ProductID" w:val="3000 m2"/>
              </w:smartTagPr>
              <w:r w:rsidRPr="00D82528">
                <w:rPr>
                  <w:rFonts w:ascii="Times New Roman" w:eastAsia="Times New Roman" w:hAnsi="Times New Roman" w:cs="Times New Roman"/>
                  <w:sz w:val="24"/>
                  <w:szCs w:val="24"/>
                  <w:lang w:eastAsia="pl-PL"/>
                </w:rPr>
                <w:t>3000 m</w:t>
              </w:r>
              <w:r w:rsidRPr="00D82528">
                <w:rPr>
                  <w:rFonts w:ascii="Times New Roman" w:eastAsia="Times New Roman" w:hAnsi="Times New Roman" w:cs="Times New Roman"/>
                  <w:sz w:val="24"/>
                  <w:szCs w:val="24"/>
                  <w:vertAlign w:val="superscript"/>
                  <w:lang w:eastAsia="pl-PL"/>
                </w:rPr>
                <w:t>2</w:t>
              </w:r>
            </w:smartTag>
          </w:p>
        </w:tc>
      </w:tr>
    </w:tbl>
    <w:p w14:paraId="344BA652" w14:textId="77777777" w:rsidR="006E3EE1" w:rsidRPr="00D82528" w:rsidRDefault="006E3EE1" w:rsidP="00A40A83">
      <w:pPr>
        <w:spacing w:before="120" w:after="120" w:line="240" w:lineRule="auto"/>
        <w:ind w:left="709" w:right="-11" w:hanging="284"/>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Dodatkowe pomiary spadków poprzecznych i ukształtowanie osi w planie należy wykonać w punktach głównych łuków poziomych.</w:t>
      </w:r>
    </w:p>
    <w:p w14:paraId="55385C93" w14:textId="77777777" w:rsidR="006E3EE1" w:rsidRPr="00D82528" w:rsidRDefault="006E3EE1" w:rsidP="00A40A83">
      <w:pPr>
        <w:keepNext/>
        <w:spacing w:before="120" w:after="120" w:line="240" w:lineRule="auto"/>
        <w:ind w:left="709" w:right="-11"/>
        <w:rPr>
          <w:rFonts w:ascii="Times New Roman" w:eastAsia="Times New Roman" w:hAnsi="Times New Roman" w:cs="Times New Roman"/>
          <w:b/>
          <w:sz w:val="24"/>
          <w:szCs w:val="24"/>
          <w:lang w:eastAsia="pl-PL"/>
        </w:rPr>
      </w:pPr>
    </w:p>
    <w:p w14:paraId="6E444380" w14:textId="77777777" w:rsidR="006E3EE1" w:rsidRPr="00D82528" w:rsidRDefault="006E3EE1" w:rsidP="00A40A83">
      <w:pPr>
        <w:keepNext/>
        <w:spacing w:before="120" w:after="12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b/>
          <w:sz w:val="24"/>
          <w:szCs w:val="24"/>
          <w:lang w:eastAsia="pl-PL"/>
        </w:rPr>
        <w:t>6.4.2. Szerokość podbudowy</w:t>
      </w:r>
    </w:p>
    <w:p w14:paraId="4BDE6602"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Szerokość podbudowy nie może różnić się od szerokości projektowanej o więcej niż +</w:t>
      </w:r>
      <w:smartTag w:uri="urn:schemas-microsoft-com:office:smarttags" w:element="metricconverter">
        <w:smartTagPr>
          <w:attr w:name="ProductID" w:val="10 cm"/>
        </w:smartTagPr>
        <w:r w:rsidRPr="00D82528">
          <w:rPr>
            <w:rFonts w:ascii="Times New Roman" w:eastAsia="Times New Roman" w:hAnsi="Times New Roman" w:cs="Times New Roman"/>
            <w:sz w:val="24"/>
            <w:szCs w:val="24"/>
            <w:lang w:eastAsia="pl-PL"/>
          </w:rPr>
          <w:t>10 cm</w:t>
        </w:r>
      </w:smartTag>
      <w:r w:rsidRPr="00D82528">
        <w:rPr>
          <w:rFonts w:ascii="Times New Roman" w:eastAsia="Times New Roman" w:hAnsi="Times New Roman" w:cs="Times New Roman"/>
          <w:sz w:val="24"/>
          <w:szCs w:val="24"/>
          <w:lang w:eastAsia="pl-PL"/>
        </w:rPr>
        <w:t xml:space="preserve">, </w:t>
      </w:r>
      <w:smartTag w:uri="urn:schemas-microsoft-com:office:smarttags" w:element="metricconverter">
        <w:smartTagPr>
          <w:attr w:name="ProductID" w:val="-5 cm"/>
        </w:smartTagPr>
        <w:r w:rsidRPr="00D82528">
          <w:rPr>
            <w:rFonts w:ascii="Times New Roman" w:eastAsia="Times New Roman" w:hAnsi="Times New Roman" w:cs="Times New Roman"/>
            <w:sz w:val="24"/>
            <w:szCs w:val="24"/>
            <w:lang w:eastAsia="pl-PL"/>
          </w:rPr>
          <w:t>-5 cm</w:t>
        </w:r>
      </w:smartTag>
      <w:r w:rsidRPr="00D82528">
        <w:rPr>
          <w:rFonts w:ascii="Times New Roman" w:eastAsia="Times New Roman" w:hAnsi="Times New Roman" w:cs="Times New Roman"/>
          <w:sz w:val="24"/>
          <w:szCs w:val="24"/>
          <w:lang w:eastAsia="pl-PL"/>
        </w:rPr>
        <w:t>.</w:t>
      </w:r>
    </w:p>
    <w:p w14:paraId="2DFC32C5" w14:textId="5C401620"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 xml:space="preserve">Na jezdniach bez krawężników szerokość podbudowy powinna być większa od szerokości warstwy wyżej leżącej o co najmniej </w:t>
      </w:r>
      <w:smartTag w:uri="urn:schemas-microsoft-com:office:smarttags" w:element="metricconverter">
        <w:smartTagPr>
          <w:attr w:name="ProductID" w:val="25 cm"/>
        </w:smartTagPr>
        <w:r w:rsidRPr="00D82528">
          <w:rPr>
            <w:rFonts w:ascii="Times New Roman" w:eastAsia="Times New Roman" w:hAnsi="Times New Roman" w:cs="Times New Roman"/>
            <w:sz w:val="24"/>
            <w:szCs w:val="24"/>
            <w:lang w:eastAsia="pl-PL"/>
          </w:rPr>
          <w:t>25 cm</w:t>
        </w:r>
      </w:smartTag>
      <w:r w:rsidRPr="00D82528">
        <w:rPr>
          <w:rFonts w:ascii="Times New Roman" w:eastAsia="Times New Roman" w:hAnsi="Times New Roman" w:cs="Times New Roman"/>
          <w:sz w:val="24"/>
          <w:szCs w:val="24"/>
          <w:lang w:eastAsia="pl-PL"/>
        </w:rPr>
        <w:t xml:space="preserve"> lub o wartość wskazaną w dokumentacji projektowej.</w:t>
      </w:r>
    </w:p>
    <w:p w14:paraId="219DB260" w14:textId="77777777" w:rsidR="00813BD0" w:rsidRPr="00D82528" w:rsidRDefault="00813BD0" w:rsidP="00A40A83">
      <w:pPr>
        <w:spacing w:after="0" w:line="240" w:lineRule="auto"/>
        <w:ind w:left="709" w:right="-11"/>
        <w:rPr>
          <w:rFonts w:ascii="Times New Roman" w:eastAsia="Times New Roman" w:hAnsi="Times New Roman" w:cs="Times New Roman"/>
          <w:sz w:val="24"/>
          <w:szCs w:val="24"/>
          <w:lang w:eastAsia="pl-PL"/>
        </w:rPr>
      </w:pPr>
    </w:p>
    <w:p w14:paraId="3F347374" w14:textId="77777777" w:rsidR="006E3EE1" w:rsidRPr="00D82528" w:rsidRDefault="006E3EE1" w:rsidP="00A40A83">
      <w:pPr>
        <w:spacing w:before="120" w:after="12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b/>
          <w:sz w:val="24"/>
          <w:szCs w:val="24"/>
          <w:lang w:eastAsia="pl-PL"/>
        </w:rPr>
        <w:t>6.4.3. Równość podbudowy</w:t>
      </w:r>
    </w:p>
    <w:p w14:paraId="5A3DF258"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 xml:space="preserve">Nierówności podłużne podbudowy należy mierzyć 4-metrową łatą lub planografem, zgodnie z normą BN-68/8931-04 [11]. </w:t>
      </w:r>
    </w:p>
    <w:p w14:paraId="15870592"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 xml:space="preserve">Nierówności poprzeczne podbudowy należy mierzyć 4-metrową łatą. </w:t>
      </w:r>
    </w:p>
    <w:p w14:paraId="77ED5F38"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Nierówności podbudowy nie mogą przekraczać:</w:t>
      </w:r>
    </w:p>
    <w:p w14:paraId="686AD57C" w14:textId="7E5EB619" w:rsidR="006E3EE1"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 </w:t>
      </w:r>
      <w:smartTag w:uri="urn:schemas-microsoft-com:office:smarttags" w:element="metricconverter">
        <w:smartTagPr>
          <w:attr w:name="ProductID" w:val="12 mm"/>
        </w:smartTagPr>
        <w:r w:rsidRPr="00D82528">
          <w:rPr>
            <w:rFonts w:ascii="Times New Roman" w:eastAsia="Times New Roman" w:hAnsi="Times New Roman" w:cs="Times New Roman"/>
            <w:sz w:val="24"/>
            <w:szCs w:val="24"/>
            <w:lang w:eastAsia="pl-PL"/>
          </w:rPr>
          <w:t>12 mm</w:t>
        </w:r>
      </w:smartTag>
      <w:r w:rsidRPr="00D82528">
        <w:rPr>
          <w:rFonts w:ascii="Times New Roman" w:eastAsia="Times New Roman" w:hAnsi="Times New Roman" w:cs="Times New Roman"/>
          <w:sz w:val="24"/>
          <w:szCs w:val="24"/>
          <w:lang w:eastAsia="pl-PL"/>
        </w:rPr>
        <w:t xml:space="preserve"> dla podbudowy zasadniczej,</w:t>
      </w:r>
    </w:p>
    <w:p w14:paraId="127CD2B9" w14:textId="59ACBD93" w:rsidR="00CF16B2" w:rsidRDefault="00CF16B2" w:rsidP="00A40A83">
      <w:pPr>
        <w:spacing w:after="0" w:line="240" w:lineRule="auto"/>
        <w:ind w:left="709" w:right="-11"/>
        <w:rPr>
          <w:rFonts w:ascii="Times New Roman" w:eastAsia="Times New Roman" w:hAnsi="Times New Roman" w:cs="Times New Roman"/>
          <w:sz w:val="24"/>
          <w:szCs w:val="24"/>
          <w:lang w:eastAsia="pl-PL"/>
        </w:rPr>
      </w:pPr>
    </w:p>
    <w:p w14:paraId="52F19D59" w14:textId="1A2E3D38" w:rsidR="00CF16B2" w:rsidRDefault="00CF16B2" w:rsidP="00A40A83">
      <w:pPr>
        <w:spacing w:after="0" w:line="240" w:lineRule="auto"/>
        <w:ind w:left="709" w:right="-11"/>
        <w:rPr>
          <w:rFonts w:ascii="Times New Roman" w:eastAsia="Times New Roman" w:hAnsi="Times New Roman" w:cs="Times New Roman"/>
          <w:sz w:val="24"/>
          <w:szCs w:val="24"/>
          <w:lang w:eastAsia="pl-PL"/>
        </w:rPr>
      </w:pPr>
    </w:p>
    <w:p w14:paraId="7AEF57AB" w14:textId="77777777" w:rsidR="00CF16B2" w:rsidRPr="00D82528" w:rsidRDefault="00CF16B2" w:rsidP="00A40A83">
      <w:pPr>
        <w:spacing w:after="0" w:line="240" w:lineRule="auto"/>
        <w:ind w:left="709" w:right="-11"/>
        <w:rPr>
          <w:rFonts w:ascii="Times New Roman" w:eastAsia="Times New Roman" w:hAnsi="Times New Roman" w:cs="Times New Roman"/>
          <w:sz w:val="24"/>
          <w:szCs w:val="24"/>
          <w:lang w:eastAsia="pl-PL"/>
        </w:rPr>
      </w:pPr>
    </w:p>
    <w:p w14:paraId="658CF6D9"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p>
    <w:p w14:paraId="6BE6C5E3" w14:textId="77777777" w:rsidR="006E3EE1" w:rsidRPr="00D82528" w:rsidRDefault="006E3EE1" w:rsidP="00A40A83">
      <w:pPr>
        <w:spacing w:before="120" w:after="12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b/>
          <w:sz w:val="24"/>
          <w:szCs w:val="24"/>
          <w:lang w:eastAsia="pl-PL"/>
        </w:rPr>
        <w:t>6.4.4. Spadki poprzeczne podbudowy</w:t>
      </w:r>
    </w:p>
    <w:p w14:paraId="5C86B3C5" w14:textId="1DCE108D" w:rsidR="006E3EE1" w:rsidRPr="00D82528" w:rsidRDefault="006E3EE1" w:rsidP="00A40A83">
      <w:pPr>
        <w:spacing w:before="120" w:after="120" w:line="240" w:lineRule="auto"/>
        <w:ind w:left="709" w:right="-11"/>
        <w:rPr>
          <w:rFonts w:ascii="Times New Roman" w:eastAsia="Times New Roman" w:hAnsi="Times New Roman" w:cs="Times New Roman"/>
          <w:b/>
          <w:sz w:val="24"/>
          <w:szCs w:val="24"/>
          <w:lang w:eastAsia="pl-PL"/>
        </w:rPr>
      </w:pPr>
      <w:r w:rsidRPr="00D82528">
        <w:rPr>
          <w:rFonts w:ascii="Times New Roman" w:eastAsia="Times New Roman" w:hAnsi="Times New Roman" w:cs="Times New Roman"/>
          <w:sz w:val="24"/>
          <w:szCs w:val="24"/>
          <w:lang w:eastAsia="pl-PL"/>
        </w:rPr>
        <w:t xml:space="preserve">Spadki poprzeczne podbudowy na prostych i łukach powinny być zgodne z dokumentacją projektową z tolerancją </w:t>
      </w:r>
      <w:r w:rsidRPr="00D82528">
        <w:rPr>
          <w:rFonts w:ascii="Times New Roman" w:eastAsia="Times New Roman" w:hAnsi="Times New Roman" w:cs="Times New Roman"/>
          <w:sz w:val="24"/>
          <w:szCs w:val="24"/>
          <w:lang w:eastAsia="pl-PL"/>
        </w:rPr>
        <w:sym w:font="Symbol" w:char="F0B1"/>
      </w:r>
      <w:r w:rsidRPr="00D82528">
        <w:rPr>
          <w:rFonts w:ascii="Times New Roman" w:eastAsia="Times New Roman" w:hAnsi="Times New Roman" w:cs="Times New Roman"/>
          <w:sz w:val="24"/>
          <w:szCs w:val="24"/>
          <w:lang w:eastAsia="pl-PL"/>
        </w:rPr>
        <w:t xml:space="preserve"> 0,5 %.</w:t>
      </w:r>
    </w:p>
    <w:p w14:paraId="36AB6F66" w14:textId="77777777" w:rsidR="006E3EE1" w:rsidRPr="00D82528" w:rsidRDefault="006E3EE1" w:rsidP="00A40A83">
      <w:pPr>
        <w:spacing w:before="120" w:after="12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b/>
          <w:sz w:val="24"/>
          <w:szCs w:val="24"/>
          <w:lang w:eastAsia="pl-PL"/>
        </w:rPr>
        <w:lastRenderedPageBreak/>
        <w:t>6.4.5. Rzędne wysokościowe podbudowy</w:t>
      </w:r>
    </w:p>
    <w:p w14:paraId="69DD65EF"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 xml:space="preserve">Różnice pomiędzy rzędnymi wysokościowymi podbudowy i rzędnymi projektowanymi nie powinny przekraczać + </w:t>
      </w:r>
      <w:smartTag w:uri="urn:schemas-microsoft-com:office:smarttags" w:element="metricconverter">
        <w:smartTagPr>
          <w:attr w:name="ProductID" w:val="1 cm"/>
        </w:smartTagPr>
        <w:r w:rsidRPr="00D82528">
          <w:rPr>
            <w:rFonts w:ascii="Times New Roman" w:eastAsia="Times New Roman" w:hAnsi="Times New Roman" w:cs="Times New Roman"/>
            <w:sz w:val="24"/>
            <w:szCs w:val="24"/>
            <w:lang w:eastAsia="pl-PL"/>
          </w:rPr>
          <w:t>1 cm</w:t>
        </w:r>
      </w:smartTag>
      <w:r w:rsidRPr="00D82528">
        <w:rPr>
          <w:rFonts w:ascii="Times New Roman" w:eastAsia="Times New Roman" w:hAnsi="Times New Roman" w:cs="Times New Roman"/>
          <w:sz w:val="24"/>
          <w:szCs w:val="24"/>
          <w:lang w:eastAsia="pl-PL"/>
        </w:rPr>
        <w:t xml:space="preserve">, </w:t>
      </w:r>
      <w:smartTag w:uri="urn:schemas-microsoft-com:office:smarttags" w:element="metricconverter">
        <w:smartTagPr>
          <w:attr w:name="ProductID" w:val="-2 cm"/>
        </w:smartTagPr>
        <w:r w:rsidRPr="00D82528">
          <w:rPr>
            <w:rFonts w:ascii="Times New Roman" w:eastAsia="Times New Roman" w:hAnsi="Times New Roman" w:cs="Times New Roman"/>
            <w:sz w:val="24"/>
            <w:szCs w:val="24"/>
            <w:lang w:eastAsia="pl-PL"/>
          </w:rPr>
          <w:t>-2 cm</w:t>
        </w:r>
      </w:smartTag>
      <w:r w:rsidRPr="00D82528">
        <w:rPr>
          <w:rFonts w:ascii="Times New Roman" w:eastAsia="Times New Roman" w:hAnsi="Times New Roman" w:cs="Times New Roman"/>
          <w:sz w:val="24"/>
          <w:szCs w:val="24"/>
          <w:lang w:eastAsia="pl-PL"/>
        </w:rPr>
        <w:t>.</w:t>
      </w:r>
    </w:p>
    <w:p w14:paraId="6D9C5F68" w14:textId="77777777" w:rsidR="006E3EE1" w:rsidRPr="00D82528" w:rsidRDefault="006E3EE1" w:rsidP="00A40A83">
      <w:pPr>
        <w:spacing w:before="120" w:after="12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b/>
          <w:sz w:val="24"/>
          <w:szCs w:val="24"/>
          <w:lang w:eastAsia="pl-PL"/>
        </w:rPr>
        <w:t>6.4.6. Ukształtowanie osi w planie</w:t>
      </w:r>
    </w:p>
    <w:p w14:paraId="230513F7"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 xml:space="preserve">Oś podbudowy w planie nie może być przesunięta w stosunku do osi projektowanej o więcej niż </w:t>
      </w:r>
      <w:r w:rsidRPr="00D82528">
        <w:rPr>
          <w:rFonts w:ascii="Times New Roman" w:eastAsia="Times New Roman" w:hAnsi="Times New Roman" w:cs="Times New Roman"/>
          <w:sz w:val="24"/>
          <w:szCs w:val="24"/>
          <w:lang w:eastAsia="pl-PL"/>
        </w:rPr>
        <w:sym w:font="Symbol" w:char="F0B1"/>
      </w:r>
      <w:r w:rsidRPr="00D82528">
        <w:rPr>
          <w:rFonts w:ascii="Times New Roman" w:eastAsia="Times New Roman" w:hAnsi="Times New Roman" w:cs="Times New Roman"/>
          <w:sz w:val="24"/>
          <w:szCs w:val="24"/>
          <w:lang w:eastAsia="pl-PL"/>
        </w:rPr>
        <w:t xml:space="preserve"> </w:t>
      </w:r>
      <w:smartTag w:uri="urn:schemas-microsoft-com:office:smarttags" w:element="metricconverter">
        <w:smartTagPr>
          <w:attr w:name="ProductID" w:val="5 cm"/>
        </w:smartTagPr>
        <w:r w:rsidRPr="00D82528">
          <w:rPr>
            <w:rFonts w:ascii="Times New Roman" w:eastAsia="Times New Roman" w:hAnsi="Times New Roman" w:cs="Times New Roman"/>
            <w:sz w:val="24"/>
            <w:szCs w:val="24"/>
            <w:lang w:eastAsia="pl-PL"/>
          </w:rPr>
          <w:t>5 cm</w:t>
        </w:r>
      </w:smartTag>
      <w:r w:rsidRPr="00D82528">
        <w:rPr>
          <w:rFonts w:ascii="Times New Roman" w:eastAsia="Times New Roman" w:hAnsi="Times New Roman" w:cs="Times New Roman"/>
          <w:sz w:val="24"/>
          <w:szCs w:val="24"/>
          <w:lang w:eastAsia="pl-PL"/>
        </w:rPr>
        <w:t xml:space="preserve"> dla pozostałych dróg.</w:t>
      </w:r>
    </w:p>
    <w:p w14:paraId="14DBB5E3"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p>
    <w:p w14:paraId="4BDD800F" w14:textId="77777777" w:rsidR="006E3EE1" w:rsidRPr="00D82528" w:rsidRDefault="006E3EE1" w:rsidP="00A40A83">
      <w:pPr>
        <w:spacing w:before="120" w:after="12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b/>
          <w:sz w:val="24"/>
          <w:szCs w:val="24"/>
          <w:lang w:eastAsia="pl-PL"/>
        </w:rPr>
        <w:t>6.4.7. Grubość podbudowy</w:t>
      </w:r>
    </w:p>
    <w:p w14:paraId="0B869AF1"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Grubość podbudowy nie może różnić się od grubości projektowanej o więcej niż:</w:t>
      </w:r>
    </w:p>
    <w:p w14:paraId="45F2BAB6"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 dla podbudowy zasadniczej </w:t>
      </w:r>
      <w:r w:rsidRPr="00D82528">
        <w:rPr>
          <w:rFonts w:ascii="Times New Roman" w:eastAsia="Times New Roman" w:hAnsi="Times New Roman" w:cs="Times New Roman"/>
          <w:sz w:val="24"/>
          <w:szCs w:val="24"/>
          <w:lang w:eastAsia="pl-PL"/>
        </w:rPr>
        <w:sym w:font="Symbol" w:char="F0B1"/>
      </w:r>
      <w:r w:rsidRPr="00D82528">
        <w:rPr>
          <w:rFonts w:ascii="Times New Roman" w:eastAsia="Times New Roman" w:hAnsi="Times New Roman" w:cs="Times New Roman"/>
          <w:sz w:val="24"/>
          <w:szCs w:val="24"/>
          <w:lang w:eastAsia="pl-PL"/>
        </w:rPr>
        <w:t xml:space="preserve"> </w:t>
      </w:r>
      <w:smartTag w:uri="urn:schemas-microsoft-com:office:smarttags" w:element="metricconverter">
        <w:smartTagPr>
          <w:attr w:name="ProductID" w:val="2 cm"/>
        </w:smartTagPr>
        <w:r w:rsidRPr="00D82528">
          <w:rPr>
            <w:rFonts w:ascii="Times New Roman" w:eastAsia="Times New Roman" w:hAnsi="Times New Roman" w:cs="Times New Roman"/>
            <w:sz w:val="24"/>
            <w:szCs w:val="24"/>
            <w:lang w:eastAsia="pl-PL"/>
          </w:rPr>
          <w:t>2 cm</w:t>
        </w:r>
      </w:smartTag>
      <w:r w:rsidRPr="00D82528">
        <w:rPr>
          <w:rFonts w:ascii="Times New Roman" w:eastAsia="Times New Roman" w:hAnsi="Times New Roman" w:cs="Times New Roman"/>
          <w:sz w:val="24"/>
          <w:szCs w:val="24"/>
          <w:lang w:eastAsia="pl-PL"/>
        </w:rPr>
        <w:t>,</w:t>
      </w:r>
    </w:p>
    <w:p w14:paraId="0BF1A393" w14:textId="77777777" w:rsidR="006E3EE1" w:rsidRPr="00D82528" w:rsidRDefault="006E3EE1" w:rsidP="00A40A83">
      <w:pPr>
        <w:spacing w:before="120" w:after="12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b/>
          <w:sz w:val="24"/>
          <w:szCs w:val="24"/>
          <w:lang w:eastAsia="pl-PL"/>
        </w:rPr>
        <w:t>6.4.8. Nośność podbudowy</w:t>
      </w:r>
    </w:p>
    <w:p w14:paraId="501CEE81"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 xml:space="preserve">Pomiary nośności podbudowy należy wykonać zgodnie z BN-64/8931-02 </w:t>
      </w:r>
    </w:p>
    <w:p w14:paraId="00F6BC3C" w14:textId="7761F5ED"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Podbudowa zasadnicza powinna spełniać wymagania dotyczące nośności</w:t>
      </w:r>
      <w:r w:rsidR="00CF16B2">
        <w:rPr>
          <w:rFonts w:ascii="Times New Roman" w:eastAsia="Times New Roman" w:hAnsi="Times New Roman" w:cs="Times New Roman"/>
          <w:sz w:val="24"/>
          <w:szCs w:val="24"/>
          <w:lang w:eastAsia="pl-PL"/>
        </w:rPr>
        <w:t>:</w:t>
      </w:r>
    </w:p>
    <w:p w14:paraId="149FF675" w14:textId="04247379" w:rsidR="006E3EE1" w:rsidRPr="00D82528" w:rsidRDefault="006E3EE1" w:rsidP="00A40A83">
      <w:pPr>
        <w:spacing w:before="120" w:after="12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Minimalny moduł odkształcenia mierzony przy użyciu płyty o średnicy </w:t>
      </w:r>
      <w:smartTag w:uri="urn:schemas-microsoft-com:office:smarttags" w:element="metricconverter">
        <w:smartTagPr>
          <w:attr w:name="ProductID" w:val="30 cm"/>
        </w:smartTagPr>
        <w:r w:rsidRPr="00D82528">
          <w:rPr>
            <w:rFonts w:ascii="Times New Roman" w:eastAsia="Times New Roman" w:hAnsi="Times New Roman" w:cs="Times New Roman"/>
            <w:sz w:val="24"/>
            <w:szCs w:val="24"/>
            <w:lang w:eastAsia="pl-PL"/>
          </w:rPr>
          <w:t>30 cm</w:t>
        </w:r>
      </w:smartTag>
      <w:r w:rsidRPr="00D82528">
        <w:rPr>
          <w:rFonts w:ascii="Times New Roman" w:eastAsia="Times New Roman" w:hAnsi="Times New Roman" w:cs="Times New Roman"/>
          <w:sz w:val="24"/>
          <w:szCs w:val="24"/>
          <w:lang w:eastAsia="pl-PL"/>
        </w:rPr>
        <w:t xml:space="preserve">   (MPa)</w:t>
      </w:r>
    </w:p>
    <w:p w14:paraId="57BEA3DF" w14:textId="4229F9D1" w:rsidR="006E3EE1" w:rsidRPr="00D82528" w:rsidRDefault="006E3EE1" w:rsidP="00A40A83">
      <w:pPr>
        <w:spacing w:before="120" w:after="12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                              Pierwotny M</w:t>
      </w:r>
      <w:r w:rsidRPr="00D82528">
        <w:rPr>
          <w:rFonts w:ascii="Times New Roman" w:eastAsia="Times New Roman" w:hAnsi="Times New Roman" w:cs="Times New Roman"/>
          <w:position w:val="-10"/>
          <w:sz w:val="24"/>
          <w:szCs w:val="24"/>
          <w:lang w:eastAsia="pl-PL"/>
        </w:rPr>
        <w:object w:dxaOrig="180" w:dyaOrig="360" w14:anchorId="115F2633">
          <v:shape id="_x0000_i1026" type="#_x0000_t75" style="width:9.25pt;height:18pt" o:ole="">
            <v:imagedata r:id="rId9" o:title=""/>
          </v:shape>
          <o:OLEObject Type="Embed" ProgID="Equation.3" ShapeID="_x0000_i1026" DrawAspect="Content" ObjectID="_1817549343" r:id="rId10"/>
        </w:object>
      </w:r>
      <w:r w:rsidRPr="00D82528">
        <w:rPr>
          <w:rFonts w:ascii="Times New Roman" w:eastAsia="Times New Roman" w:hAnsi="Times New Roman" w:cs="Times New Roman"/>
          <w:sz w:val="24"/>
          <w:szCs w:val="24"/>
          <w:lang w:eastAsia="pl-PL"/>
        </w:rPr>
        <w:t xml:space="preserve">   </w:t>
      </w:r>
      <w:r w:rsidR="00CF16B2">
        <w:rPr>
          <w:rFonts w:ascii="Times New Roman" w:eastAsia="Times New Roman" w:hAnsi="Times New Roman" w:cs="Times New Roman"/>
          <w:sz w:val="24"/>
          <w:szCs w:val="24"/>
          <w:lang w:eastAsia="pl-PL"/>
        </w:rPr>
        <w:t>60</w:t>
      </w:r>
      <w:r w:rsidRPr="00D82528">
        <w:rPr>
          <w:rFonts w:ascii="Times New Roman" w:eastAsia="Times New Roman" w:hAnsi="Times New Roman" w:cs="Times New Roman"/>
          <w:sz w:val="24"/>
          <w:szCs w:val="24"/>
          <w:lang w:eastAsia="pl-PL"/>
        </w:rPr>
        <w:t xml:space="preserve">        Wtórny M</w:t>
      </w:r>
      <w:r w:rsidRPr="00D82528">
        <w:rPr>
          <w:rFonts w:ascii="Times New Roman" w:eastAsia="Times New Roman" w:hAnsi="Times New Roman" w:cs="Times New Roman"/>
          <w:position w:val="-10"/>
          <w:sz w:val="24"/>
          <w:szCs w:val="24"/>
          <w:lang w:eastAsia="pl-PL"/>
        </w:rPr>
        <w:object w:dxaOrig="200" w:dyaOrig="360" w14:anchorId="0A493990">
          <v:shape id="_x0000_i1027" type="#_x0000_t75" style="width:10.35pt;height:18pt" o:ole="">
            <v:imagedata r:id="rId11" o:title=""/>
          </v:shape>
          <o:OLEObject Type="Embed" ProgID="Equation.3" ShapeID="_x0000_i1027" DrawAspect="Content" ObjectID="_1817549344" r:id="rId12"/>
        </w:object>
      </w:r>
      <w:r w:rsidR="00CF16B2">
        <w:rPr>
          <w:rFonts w:ascii="Times New Roman" w:eastAsia="Times New Roman" w:hAnsi="Times New Roman" w:cs="Times New Roman"/>
          <w:sz w:val="24"/>
          <w:szCs w:val="24"/>
          <w:lang w:eastAsia="pl-PL"/>
        </w:rPr>
        <w:t xml:space="preserve">   120</w:t>
      </w:r>
    </w:p>
    <w:p w14:paraId="47A17E49" w14:textId="5F61ABED" w:rsidR="006E3EE1" w:rsidRPr="00D82528" w:rsidRDefault="006E3EE1" w:rsidP="00A40A83">
      <w:pPr>
        <w:spacing w:before="60" w:after="0" w:line="240" w:lineRule="auto"/>
        <w:ind w:left="709" w:right="-11" w:firstLine="708"/>
        <w:jc w:val="both"/>
        <w:rPr>
          <w:rFonts w:ascii="Times New Roman" w:eastAsia="Times New Roman" w:hAnsi="Times New Roman" w:cs="Times New Roman"/>
          <w:sz w:val="24"/>
          <w:szCs w:val="24"/>
          <w:lang w:eastAsia="pl-PL"/>
        </w:rPr>
      </w:pPr>
    </w:p>
    <w:p w14:paraId="197697A1"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p>
    <w:p w14:paraId="75A3BE8C" w14:textId="42641C79"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 xml:space="preserve">Pierwotny moduł odkształcenia podbudowy pomocniczej mierzony płytą o średnicy </w:t>
      </w:r>
      <w:smartTag w:uri="urn:schemas-microsoft-com:office:smarttags" w:element="metricconverter">
        <w:smartTagPr>
          <w:attr w:name="ProductID" w:val="30 cm"/>
        </w:smartTagPr>
        <w:r w:rsidRPr="00D82528">
          <w:rPr>
            <w:rFonts w:ascii="Times New Roman" w:eastAsia="Times New Roman" w:hAnsi="Times New Roman" w:cs="Times New Roman"/>
            <w:sz w:val="24"/>
            <w:szCs w:val="24"/>
            <w:lang w:eastAsia="pl-PL"/>
          </w:rPr>
          <w:t>30 cm</w:t>
        </w:r>
      </w:smartTag>
      <w:r w:rsidRPr="00D82528">
        <w:rPr>
          <w:rFonts w:ascii="Times New Roman" w:eastAsia="Times New Roman" w:hAnsi="Times New Roman" w:cs="Times New Roman"/>
          <w:sz w:val="24"/>
          <w:szCs w:val="24"/>
          <w:lang w:eastAsia="pl-PL"/>
        </w:rPr>
        <w:t>, powinien być większy od 50 MPa.</w:t>
      </w:r>
      <w:r w:rsidR="00CF16B2">
        <w:rPr>
          <w:rFonts w:ascii="Times New Roman" w:eastAsia="Times New Roman" w:hAnsi="Times New Roman" w:cs="Times New Roman"/>
          <w:sz w:val="24"/>
          <w:szCs w:val="24"/>
          <w:lang w:eastAsia="pl-PL"/>
        </w:rPr>
        <w:t xml:space="preserve"> </w:t>
      </w:r>
      <w:r w:rsidRPr="00D82528">
        <w:rPr>
          <w:rFonts w:ascii="Times New Roman" w:eastAsia="Times New Roman" w:hAnsi="Times New Roman" w:cs="Times New Roman"/>
          <w:sz w:val="24"/>
          <w:szCs w:val="24"/>
          <w:lang w:eastAsia="pl-PL"/>
        </w:rPr>
        <w:t>Zagęszczenie podbudowy należy uznać za prawidłowe, gdy stosunek wtórnego modułu odkształcenia M</w:t>
      </w:r>
      <w:r w:rsidRPr="00D82528">
        <w:rPr>
          <w:rFonts w:ascii="Times New Roman" w:eastAsia="Times New Roman" w:hAnsi="Times New Roman" w:cs="Times New Roman"/>
          <w:position w:val="-10"/>
          <w:sz w:val="24"/>
          <w:szCs w:val="24"/>
          <w:lang w:eastAsia="pl-PL"/>
        </w:rPr>
        <w:object w:dxaOrig="200" w:dyaOrig="360" w14:anchorId="36320448">
          <v:shape id="_x0000_i1028" type="#_x0000_t75" style="width:10.35pt;height:18pt" o:ole="">
            <v:imagedata r:id="rId11" o:title=""/>
          </v:shape>
          <o:OLEObject Type="Embed" ProgID="Equation.3" ShapeID="_x0000_i1028" DrawAspect="Content" ObjectID="_1817549345" r:id="rId13"/>
        </w:object>
      </w:r>
      <w:r w:rsidRPr="00D82528">
        <w:rPr>
          <w:rFonts w:ascii="Times New Roman" w:eastAsia="Times New Roman" w:hAnsi="Times New Roman" w:cs="Times New Roman"/>
          <w:sz w:val="24"/>
          <w:szCs w:val="24"/>
          <w:lang w:eastAsia="pl-PL"/>
        </w:rPr>
        <w:t xml:space="preserve"> do pierwotnego modułu odkształcenia M</w:t>
      </w:r>
      <w:r w:rsidRPr="00D82528">
        <w:rPr>
          <w:rFonts w:ascii="Times New Roman" w:eastAsia="Times New Roman" w:hAnsi="Times New Roman" w:cs="Times New Roman"/>
          <w:position w:val="-10"/>
          <w:sz w:val="24"/>
          <w:szCs w:val="24"/>
          <w:lang w:eastAsia="pl-PL"/>
        </w:rPr>
        <w:object w:dxaOrig="180" w:dyaOrig="360" w14:anchorId="37DB161F">
          <v:shape id="_x0000_i1029" type="#_x0000_t75" style="width:9.25pt;height:18pt" o:ole="">
            <v:imagedata r:id="rId9" o:title=""/>
          </v:shape>
          <o:OLEObject Type="Embed" ProgID="Equation.3" ShapeID="_x0000_i1029" DrawAspect="Content" ObjectID="_1817549346" r:id="rId14"/>
        </w:object>
      </w:r>
      <w:r w:rsidRPr="00D82528">
        <w:rPr>
          <w:rFonts w:ascii="Times New Roman" w:eastAsia="Times New Roman" w:hAnsi="Times New Roman" w:cs="Times New Roman"/>
          <w:sz w:val="24"/>
          <w:szCs w:val="24"/>
          <w:lang w:eastAsia="pl-PL"/>
        </w:rPr>
        <w:t xml:space="preserve"> jest nie większy od 2,2.</w:t>
      </w:r>
    </w:p>
    <w:p w14:paraId="25D1F081"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r>
      <w:r w:rsidRPr="00D82528">
        <w:rPr>
          <w:rFonts w:ascii="Times New Roman" w:eastAsia="Times New Roman" w:hAnsi="Times New Roman" w:cs="Times New Roman"/>
          <w:sz w:val="24"/>
          <w:szCs w:val="24"/>
          <w:lang w:eastAsia="pl-PL"/>
        </w:rPr>
        <w:tab/>
      </w:r>
      <w:r w:rsidRPr="00D82528">
        <w:rPr>
          <w:rFonts w:ascii="Times New Roman" w:eastAsia="Times New Roman" w:hAnsi="Times New Roman" w:cs="Times New Roman"/>
          <w:sz w:val="24"/>
          <w:szCs w:val="24"/>
          <w:lang w:eastAsia="pl-PL"/>
        </w:rPr>
        <w:tab/>
        <w:t xml:space="preserve">                         </w:t>
      </w:r>
      <w:r w:rsidRPr="00D82528">
        <w:rPr>
          <w:rFonts w:ascii="Times New Roman" w:eastAsia="Times New Roman" w:hAnsi="Times New Roman" w:cs="Times New Roman"/>
          <w:position w:val="-30"/>
          <w:sz w:val="24"/>
          <w:szCs w:val="24"/>
          <w:lang w:eastAsia="pl-PL"/>
        </w:rPr>
        <w:object w:dxaOrig="480" w:dyaOrig="720" w14:anchorId="6AEC868A">
          <v:shape id="_x0000_i1030" type="#_x0000_t75" style="width:24pt;height:36pt" o:ole="">
            <v:imagedata r:id="rId15" o:title=""/>
          </v:shape>
          <o:OLEObject Type="Embed" ProgID="Equation.3" ShapeID="_x0000_i1030" DrawAspect="Content" ObjectID="_1817549347" r:id="rId16"/>
        </w:object>
      </w:r>
      <w:r w:rsidRPr="00D82528">
        <w:rPr>
          <w:rFonts w:ascii="Times New Roman" w:eastAsia="Times New Roman" w:hAnsi="Times New Roman" w:cs="Times New Roman"/>
          <w:sz w:val="24"/>
          <w:szCs w:val="24"/>
          <w:lang w:eastAsia="pl-PL"/>
        </w:rPr>
        <w:sym w:font="Symbol" w:char="F0A3"/>
      </w:r>
      <w:r w:rsidRPr="00D82528">
        <w:rPr>
          <w:rFonts w:ascii="Times New Roman" w:eastAsia="Times New Roman" w:hAnsi="Times New Roman" w:cs="Times New Roman"/>
          <w:sz w:val="24"/>
          <w:szCs w:val="24"/>
          <w:lang w:eastAsia="pl-PL"/>
        </w:rPr>
        <w:t xml:space="preserve">    2,2</w:t>
      </w:r>
      <w:r w:rsidRPr="00D82528">
        <w:rPr>
          <w:rFonts w:ascii="Times New Roman" w:eastAsia="Times New Roman" w:hAnsi="Times New Roman" w:cs="Times New Roman"/>
          <w:sz w:val="24"/>
          <w:szCs w:val="24"/>
          <w:lang w:eastAsia="pl-PL"/>
        </w:rPr>
        <w:tab/>
      </w:r>
      <w:r w:rsidRPr="00D82528">
        <w:rPr>
          <w:rFonts w:ascii="Times New Roman" w:eastAsia="Times New Roman" w:hAnsi="Times New Roman" w:cs="Times New Roman"/>
          <w:sz w:val="24"/>
          <w:szCs w:val="24"/>
          <w:lang w:eastAsia="pl-PL"/>
        </w:rPr>
        <w:tab/>
      </w:r>
      <w:r w:rsidRPr="00D82528">
        <w:rPr>
          <w:rFonts w:ascii="Times New Roman" w:eastAsia="Times New Roman" w:hAnsi="Times New Roman" w:cs="Times New Roman"/>
          <w:sz w:val="24"/>
          <w:szCs w:val="24"/>
          <w:lang w:eastAsia="pl-PL"/>
        </w:rPr>
        <w:tab/>
      </w:r>
      <w:r w:rsidRPr="00D82528">
        <w:rPr>
          <w:rFonts w:ascii="Times New Roman" w:eastAsia="Times New Roman" w:hAnsi="Times New Roman" w:cs="Times New Roman"/>
          <w:sz w:val="24"/>
          <w:szCs w:val="24"/>
          <w:lang w:eastAsia="pl-PL"/>
        </w:rPr>
        <w:tab/>
      </w:r>
      <w:r w:rsidRPr="00D82528">
        <w:rPr>
          <w:rFonts w:ascii="Times New Roman" w:eastAsia="Times New Roman" w:hAnsi="Times New Roman" w:cs="Times New Roman"/>
          <w:sz w:val="24"/>
          <w:szCs w:val="24"/>
          <w:lang w:eastAsia="pl-PL"/>
        </w:rPr>
        <w:tab/>
      </w:r>
      <w:r w:rsidRPr="00D82528">
        <w:rPr>
          <w:rFonts w:ascii="Times New Roman" w:eastAsia="Times New Roman" w:hAnsi="Times New Roman" w:cs="Times New Roman"/>
          <w:sz w:val="24"/>
          <w:szCs w:val="24"/>
          <w:lang w:eastAsia="pl-PL"/>
        </w:rPr>
        <w:tab/>
      </w:r>
    </w:p>
    <w:p w14:paraId="02045138"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6.5. Zasady postępowania z wadliwie wykonanymi odcinkami podbudowy</w:t>
      </w:r>
    </w:p>
    <w:p w14:paraId="7AAC8856"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Cs/>
          <w:iCs/>
          <w:sz w:val="24"/>
          <w:szCs w:val="24"/>
          <w:lang w:eastAsia="pl-PL"/>
        </w:rPr>
      </w:pPr>
      <w:r w:rsidRPr="00D82528">
        <w:rPr>
          <w:rFonts w:ascii="Times New Roman" w:eastAsia="Times New Roman" w:hAnsi="Times New Roman" w:cs="Times New Roman"/>
          <w:b/>
          <w:bCs/>
          <w:iCs/>
          <w:sz w:val="24"/>
          <w:szCs w:val="24"/>
          <w:lang w:eastAsia="pl-PL"/>
        </w:rPr>
        <w:t>6.5.1. Niewłaściwe cechy geometryczne podbudowy</w:t>
      </w:r>
    </w:p>
    <w:p w14:paraId="47F757E3"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Wszystkie powierzchnie podbudowy, które wykazują większe odchylenia cech geometrycznych od określonych w punkcie 6.4, powinny być naprawione. Wszelkie naprawy i dodatkowe badania i pomiary zostaną wykonane na koszt Wykonawcy.</w:t>
      </w:r>
    </w:p>
    <w:p w14:paraId="72DB1587" w14:textId="055DBD4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 xml:space="preserve">Jeżeli szerokość podbudowy jest mniejsza od szerokości projektowanej o więcej niż </w:t>
      </w:r>
      <w:smartTag w:uri="urn:schemas-microsoft-com:office:smarttags" w:element="metricconverter">
        <w:smartTagPr>
          <w:attr w:name="ProductID" w:val="5 cm"/>
        </w:smartTagPr>
        <w:r w:rsidRPr="00D82528">
          <w:rPr>
            <w:rFonts w:ascii="Times New Roman" w:eastAsia="Times New Roman" w:hAnsi="Times New Roman" w:cs="Times New Roman"/>
            <w:sz w:val="24"/>
            <w:szCs w:val="24"/>
            <w:lang w:eastAsia="pl-PL"/>
          </w:rPr>
          <w:t>5 cm</w:t>
        </w:r>
      </w:smartTag>
      <w:r w:rsidRPr="00D82528">
        <w:rPr>
          <w:rFonts w:ascii="Times New Roman" w:eastAsia="Times New Roman" w:hAnsi="Times New Roman" w:cs="Times New Roman"/>
          <w:sz w:val="24"/>
          <w:szCs w:val="24"/>
          <w:lang w:eastAsia="pl-PL"/>
        </w:rPr>
        <w:t xml:space="preserve"> i nie zapewni to podparcia warstwom wyżej leżącym, to Wykonawca powinien na własny koszt poszerzyć podbudowę przez spulchnienie warstwy na pełną grubość, do połowy szerokości pasa ruchu (lub pasa postojowego czy utwardzonego pobocza), dołożenie materiału i powtórne zagęszczenie.</w:t>
      </w:r>
    </w:p>
    <w:p w14:paraId="59D5C311" w14:textId="77777777" w:rsidR="006E3EE1" w:rsidRPr="00D82528" w:rsidRDefault="006E3EE1" w:rsidP="00A40A83">
      <w:pPr>
        <w:spacing w:before="120"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b/>
          <w:sz w:val="24"/>
          <w:szCs w:val="24"/>
          <w:lang w:eastAsia="pl-PL"/>
        </w:rPr>
        <w:t>6.5.2. Niewłaściwa grubość</w:t>
      </w:r>
    </w:p>
    <w:p w14:paraId="78A95A15" w14:textId="76EB08A3" w:rsidR="006E3EE1" w:rsidRPr="00D82528" w:rsidRDefault="006E3EE1" w:rsidP="00A40A83">
      <w:pPr>
        <w:spacing w:before="120"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Na wszystkich powierzchniach wadliwych pod względem grubości, Wykonawca wykona naprawę podbudowy. Powierzchnie powinny być naprawione przez spulchnienie lub wybranie warstwy na odpowiednią głębokość, zgodnie z decyzją In</w:t>
      </w:r>
      <w:r w:rsidR="00CF16B2">
        <w:rPr>
          <w:rFonts w:ascii="Times New Roman" w:eastAsia="Times New Roman" w:hAnsi="Times New Roman" w:cs="Times New Roman"/>
          <w:sz w:val="24"/>
          <w:szCs w:val="24"/>
          <w:lang w:eastAsia="pl-PL"/>
        </w:rPr>
        <w:t>spektora</w:t>
      </w:r>
      <w:r w:rsidRPr="00D82528">
        <w:rPr>
          <w:rFonts w:ascii="Times New Roman" w:eastAsia="Times New Roman" w:hAnsi="Times New Roman" w:cs="Times New Roman"/>
          <w:sz w:val="24"/>
          <w:szCs w:val="24"/>
          <w:lang w:eastAsia="pl-PL"/>
        </w:rPr>
        <w:t xml:space="preserve">, uzupełnione nowym materiałem o odpowiednich właściwościach, </w:t>
      </w:r>
      <w:r w:rsidRPr="00D82528">
        <w:rPr>
          <w:rFonts w:ascii="Times New Roman" w:eastAsia="Times New Roman" w:hAnsi="Times New Roman" w:cs="Times New Roman"/>
          <w:sz w:val="24"/>
          <w:szCs w:val="24"/>
          <w:lang w:eastAsia="pl-PL"/>
        </w:rPr>
        <w:lastRenderedPageBreak/>
        <w:t>wyrównane i ponownie zagęszczone. Roboty te Wykonawca wykona na własny koszt. Po wykonaniu tych robót nastąpi ponowny pomiar i ocena grubości warstwy. Koszty poniesie Wykonawca.</w:t>
      </w:r>
    </w:p>
    <w:p w14:paraId="13F1E1F3" w14:textId="77777777" w:rsidR="006E3EE1" w:rsidRPr="00D82528" w:rsidRDefault="006E3EE1" w:rsidP="00A40A83">
      <w:pPr>
        <w:spacing w:before="120"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b/>
          <w:sz w:val="24"/>
          <w:szCs w:val="24"/>
          <w:lang w:eastAsia="pl-PL"/>
        </w:rPr>
        <w:t>6.5.3. Niewłaściwa nośność podbudowy</w:t>
      </w:r>
    </w:p>
    <w:p w14:paraId="4175E6BE" w14:textId="54F4D2A9" w:rsidR="006E3EE1" w:rsidRPr="00D82528" w:rsidRDefault="006E3EE1" w:rsidP="00A40A83">
      <w:pPr>
        <w:spacing w:before="120"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Jeżeli nośność podbudowy będzie mniejsza od wymaganej, to Wykonawca wykona wszelkie roboty niezbędne do zapewnienia wymaganej nośności, zalecone przez In</w:t>
      </w:r>
      <w:r w:rsidR="00CF16B2">
        <w:rPr>
          <w:rFonts w:ascii="Times New Roman" w:eastAsia="Times New Roman" w:hAnsi="Times New Roman" w:cs="Times New Roman"/>
          <w:sz w:val="24"/>
          <w:szCs w:val="24"/>
          <w:lang w:eastAsia="pl-PL"/>
        </w:rPr>
        <w:t>spektora</w:t>
      </w:r>
      <w:r w:rsidRPr="00D82528">
        <w:rPr>
          <w:rFonts w:ascii="Times New Roman" w:eastAsia="Times New Roman" w:hAnsi="Times New Roman" w:cs="Times New Roman"/>
          <w:sz w:val="24"/>
          <w:szCs w:val="24"/>
          <w:lang w:eastAsia="pl-PL"/>
        </w:rPr>
        <w:t>.</w:t>
      </w:r>
    </w:p>
    <w:p w14:paraId="6321DB17"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Koszty tych dodatkowych robót poniesie Wykonawca podbudowy tylko wtedy, gdy zaniżenie nośności podbudowy wynikło z niewłaściwego wykonania robót przez Wykonawcę podbudowy.</w:t>
      </w:r>
      <w:r w:rsidRPr="00D82528">
        <w:rPr>
          <w:rFonts w:ascii="Times New Roman" w:eastAsia="Times New Roman" w:hAnsi="Times New Roman" w:cs="Times New Roman"/>
          <w:sz w:val="24"/>
          <w:szCs w:val="24"/>
          <w:lang w:eastAsia="pl-PL"/>
        </w:rPr>
        <w:tab/>
      </w:r>
    </w:p>
    <w:p w14:paraId="24DEF9EB" w14:textId="77777777" w:rsidR="006E3EE1" w:rsidRPr="00D82528" w:rsidRDefault="006E3EE1" w:rsidP="00A40A83">
      <w:pPr>
        <w:keepNext/>
        <w:spacing w:before="240" w:after="60" w:line="240" w:lineRule="auto"/>
        <w:ind w:left="709"/>
        <w:outlineLvl w:val="0"/>
        <w:rPr>
          <w:rFonts w:ascii="Times New Roman" w:eastAsia="Times New Roman" w:hAnsi="Times New Roman" w:cs="Times New Roman"/>
          <w:b/>
          <w:bCs/>
          <w:kern w:val="32"/>
          <w:sz w:val="32"/>
          <w:szCs w:val="32"/>
          <w:lang w:eastAsia="pl-PL"/>
        </w:rPr>
      </w:pPr>
      <w:bookmarkStart w:id="7" w:name="_Toc418394443"/>
      <w:bookmarkStart w:id="8" w:name="_Toc423398336"/>
      <w:r w:rsidRPr="00D82528">
        <w:rPr>
          <w:rFonts w:ascii="Times New Roman" w:eastAsia="Times New Roman" w:hAnsi="Times New Roman" w:cs="Times New Roman"/>
          <w:b/>
          <w:bCs/>
          <w:kern w:val="32"/>
          <w:sz w:val="32"/>
          <w:szCs w:val="32"/>
          <w:lang w:eastAsia="pl-PL"/>
        </w:rPr>
        <w:t>7. OBMIAR ROBÓT</w:t>
      </w:r>
      <w:bookmarkEnd w:id="7"/>
      <w:bookmarkEnd w:id="8"/>
    </w:p>
    <w:p w14:paraId="192669D1"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7.1. Ogólne zasady obmiaru robót</w:t>
      </w:r>
    </w:p>
    <w:p w14:paraId="71B6284D"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Ogólne zasady obmiaru robót podano w ST D-M-00.00.00 „Wymagania ogólne” pkt 7.</w:t>
      </w:r>
    </w:p>
    <w:p w14:paraId="743506B5"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7.2. Jednostka obmiarowa</w:t>
      </w:r>
    </w:p>
    <w:p w14:paraId="314F4DF5"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Jednostką obmiarową jest  m</w:t>
      </w:r>
      <w:r w:rsidRPr="00D82528">
        <w:rPr>
          <w:rFonts w:ascii="Times New Roman" w:eastAsia="Times New Roman" w:hAnsi="Times New Roman" w:cs="Times New Roman"/>
          <w:sz w:val="24"/>
          <w:szCs w:val="24"/>
          <w:vertAlign w:val="superscript"/>
          <w:lang w:eastAsia="pl-PL"/>
        </w:rPr>
        <w:t>2</w:t>
      </w:r>
      <w:r w:rsidRPr="00D82528">
        <w:rPr>
          <w:rFonts w:ascii="Times New Roman" w:eastAsia="Times New Roman" w:hAnsi="Times New Roman" w:cs="Times New Roman"/>
          <w:sz w:val="24"/>
          <w:szCs w:val="24"/>
          <w:lang w:eastAsia="pl-PL"/>
        </w:rPr>
        <w:t xml:space="preserve"> (metr kwadratowy) wykonanej podbudowy z tłucznia kamiennego.</w:t>
      </w:r>
    </w:p>
    <w:p w14:paraId="4A6E81C0" w14:textId="77777777" w:rsidR="006E3EE1" w:rsidRPr="00D82528" w:rsidRDefault="006E3EE1" w:rsidP="00A40A83">
      <w:pPr>
        <w:keepNext/>
        <w:spacing w:before="240" w:after="60" w:line="240" w:lineRule="auto"/>
        <w:ind w:left="709"/>
        <w:outlineLvl w:val="0"/>
        <w:rPr>
          <w:rFonts w:ascii="Times New Roman" w:eastAsia="Times New Roman" w:hAnsi="Times New Roman" w:cs="Times New Roman"/>
          <w:b/>
          <w:bCs/>
          <w:kern w:val="32"/>
          <w:sz w:val="32"/>
          <w:szCs w:val="32"/>
          <w:lang w:eastAsia="pl-PL"/>
        </w:rPr>
      </w:pPr>
      <w:bookmarkStart w:id="9" w:name="_Toc418394444"/>
      <w:bookmarkStart w:id="10" w:name="_Toc423398337"/>
      <w:r w:rsidRPr="00D82528">
        <w:rPr>
          <w:rFonts w:ascii="Times New Roman" w:eastAsia="Times New Roman" w:hAnsi="Times New Roman" w:cs="Times New Roman"/>
          <w:b/>
          <w:bCs/>
          <w:kern w:val="32"/>
          <w:sz w:val="32"/>
          <w:szCs w:val="32"/>
          <w:lang w:eastAsia="pl-PL"/>
        </w:rPr>
        <w:t>8. ODBIÓR ROBÓT</w:t>
      </w:r>
      <w:bookmarkEnd w:id="9"/>
      <w:bookmarkEnd w:id="10"/>
    </w:p>
    <w:p w14:paraId="0C74831C"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Ogólne zasady odbioru robót podano w ST D-M-00.00.00 „Wymagania ogólne” pkt 8.</w:t>
      </w:r>
    </w:p>
    <w:p w14:paraId="6CD69346"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Roboty uznaje się za zgodne z dokumentacją projektową, STWIORB i wymaganiami Inżyniera, jeżeli wszystkie pomiary i badania z zachowaniem tolerancji wg pkt 6 dały wyniki pozytywne.</w:t>
      </w:r>
    </w:p>
    <w:p w14:paraId="7EDCD6EB" w14:textId="77777777" w:rsidR="006E3EE1" w:rsidRPr="00D82528" w:rsidRDefault="006E3EE1" w:rsidP="00A40A83">
      <w:pPr>
        <w:keepNext/>
        <w:spacing w:before="240" w:after="60" w:line="240" w:lineRule="auto"/>
        <w:ind w:left="709"/>
        <w:outlineLvl w:val="0"/>
        <w:rPr>
          <w:rFonts w:ascii="Times New Roman" w:eastAsia="Times New Roman" w:hAnsi="Times New Roman" w:cs="Times New Roman"/>
          <w:b/>
          <w:bCs/>
          <w:kern w:val="32"/>
          <w:sz w:val="32"/>
          <w:szCs w:val="32"/>
          <w:lang w:eastAsia="pl-PL"/>
        </w:rPr>
      </w:pPr>
      <w:bookmarkStart w:id="11" w:name="_Toc418394445"/>
      <w:bookmarkStart w:id="12" w:name="_Toc423398338"/>
      <w:r w:rsidRPr="00D82528">
        <w:rPr>
          <w:rFonts w:ascii="Times New Roman" w:eastAsia="Times New Roman" w:hAnsi="Times New Roman" w:cs="Times New Roman"/>
          <w:b/>
          <w:bCs/>
          <w:kern w:val="32"/>
          <w:sz w:val="32"/>
          <w:szCs w:val="32"/>
          <w:lang w:eastAsia="pl-PL"/>
        </w:rPr>
        <w:t>9. PODSTAWA PŁATNOŚCI</w:t>
      </w:r>
      <w:bookmarkEnd w:id="11"/>
      <w:bookmarkEnd w:id="12"/>
    </w:p>
    <w:p w14:paraId="792DE430"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9.1. Ogólne ustalenia dotyczące podstawy płatności</w:t>
      </w:r>
    </w:p>
    <w:p w14:paraId="7097F826" w14:textId="77777777" w:rsidR="006E3EE1" w:rsidRPr="00D82528" w:rsidRDefault="006E3EE1" w:rsidP="00A40A83">
      <w:pPr>
        <w:spacing w:after="0" w:line="240" w:lineRule="auto"/>
        <w:ind w:left="709" w:right="-11"/>
        <w:rPr>
          <w:rFonts w:ascii="Times New Roman" w:eastAsia="Times New Roman" w:hAnsi="Times New Roman" w:cs="Times New Roman"/>
          <w:sz w:val="24"/>
          <w:szCs w:val="24"/>
          <w:lang w:eastAsia="pl-PL"/>
        </w:rPr>
      </w:pPr>
      <w:r w:rsidRPr="00D82528">
        <w:rPr>
          <w:rFonts w:ascii="Times New Roman" w:eastAsia="Times New Roman" w:hAnsi="Times New Roman" w:cs="Times New Roman"/>
          <w:b/>
          <w:sz w:val="24"/>
          <w:szCs w:val="24"/>
          <w:lang w:eastAsia="pl-PL"/>
        </w:rPr>
        <w:tab/>
      </w:r>
      <w:r w:rsidRPr="00D82528">
        <w:rPr>
          <w:rFonts w:ascii="Times New Roman" w:eastAsia="Times New Roman" w:hAnsi="Times New Roman" w:cs="Times New Roman"/>
          <w:sz w:val="24"/>
          <w:szCs w:val="24"/>
          <w:lang w:eastAsia="pl-PL"/>
        </w:rPr>
        <w:t>Ogólne ustalenia dotyczące podstawy płatności podano w OST D-M-00.00.00 „Wymagania ogólne” pkt 9.</w:t>
      </w:r>
    </w:p>
    <w:p w14:paraId="1117CD9B"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9.2. Cena jednostki obmiarowej</w:t>
      </w:r>
    </w:p>
    <w:p w14:paraId="59377A44"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ab/>
        <w:t xml:space="preserve">Cena wykonania </w:t>
      </w:r>
      <w:smartTag w:uri="urn:schemas-microsoft-com:office:smarttags" w:element="metricconverter">
        <w:smartTagPr>
          <w:attr w:name="ProductID" w:val="1 m2"/>
        </w:smartTagPr>
        <w:r w:rsidRPr="00D82528">
          <w:rPr>
            <w:rFonts w:ascii="Times New Roman" w:eastAsia="Times New Roman" w:hAnsi="Times New Roman" w:cs="Times New Roman"/>
            <w:sz w:val="24"/>
            <w:szCs w:val="24"/>
            <w:lang w:eastAsia="pl-PL"/>
          </w:rPr>
          <w:t>1 m</w:t>
        </w:r>
        <w:r w:rsidRPr="00D82528">
          <w:rPr>
            <w:rFonts w:ascii="Times New Roman" w:eastAsia="Times New Roman" w:hAnsi="Times New Roman" w:cs="Times New Roman"/>
            <w:sz w:val="24"/>
            <w:szCs w:val="24"/>
            <w:vertAlign w:val="superscript"/>
            <w:lang w:eastAsia="pl-PL"/>
          </w:rPr>
          <w:t>2</w:t>
        </w:r>
      </w:smartTag>
      <w:r w:rsidRPr="00D82528">
        <w:rPr>
          <w:rFonts w:ascii="Times New Roman" w:eastAsia="Times New Roman" w:hAnsi="Times New Roman" w:cs="Times New Roman"/>
          <w:sz w:val="24"/>
          <w:szCs w:val="24"/>
          <w:lang w:eastAsia="pl-PL"/>
        </w:rPr>
        <w:t xml:space="preserve"> podbudowy tłuczniowej obejmuje:</w:t>
      </w:r>
    </w:p>
    <w:p w14:paraId="405A5D11" w14:textId="77777777" w:rsidR="006E3EE1" w:rsidRPr="00D82528" w:rsidRDefault="006E3EE1" w:rsidP="00A40A83">
      <w:pPr>
        <w:numPr>
          <w:ilvl w:val="0"/>
          <w:numId w:val="3"/>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prace pomiarowe i roboty przygotowawcze,</w:t>
      </w:r>
    </w:p>
    <w:p w14:paraId="65B13143" w14:textId="77777777" w:rsidR="006E3EE1" w:rsidRPr="00D82528" w:rsidRDefault="006E3EE1" w:rsidP="00A40A83">
      <w:pPr>
        <w:numPr>
          <w:ilvl w:val="0"/>
          <w:numId w:val="3"/>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oznakowanie robót,</w:t>
      </w:r>
    </w:p>
    <w:p w14:paraId="59BBBA3E" w14:textId="77777777" w:rsidR="006E3EE1" w:rsidRPr="00D82528" w:rsidRDefault="006E3EE1" w:rsidP="00A40A83">
      <w:pPr>
        <w:numPr>
          <w:ilvl w:val="0"/>
          <w:numId w:val="3"/>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przygotowanie podłoża,</w:t>
      </w:r>
    </w:p>
    <w:p w14:paraId="11E4D3BD" w14:textId="77777777" w:rsidR="006E3EE1" w:rsidRPr="00D82528" w:rsidRDefault="006E3EE1" w:rsidP="00A40A83">
      <w:pPr>
        <w:numPr>
          <w:ilvl w:val="0"/>
          <w:numId w:val="3"/>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dostarczenie materiałów na miejsce wbudowania,</w:t>
      </w:r>
    </w:p>
    <w:p w14:paraId="129BACC4" w14:textId="77777777" w:rsidR="006E3EE1" w:rsidRPr="00D82528" w:rsidRDefault="006E3EE1" w:rsidP="00A40A83">
      <w:pPr>
        <w:numPr>
          <w:ilvl w:val="0"/>
          <w:numId w:val="3"/>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rozłożenie kruszywa,</w:t>
      </w:r>
    </w:p>
    <w:p w14:paraId="793F8A08" w14:textId="77777777" w:rsidR="006E3EE1" w:rsidRPr="00D82528" w:rsidRDefault="006E3EE1" w:rsidP="00A40A83">
      <w:pPr>
        <w:numPr>
          <w:ilvl w:val="0"/>
          <w:numId w:val="3"/>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zagęszczenie warstw z zaklinowaniem,</w:t>
      </w:r>
    </w:p>
    <w:p w14:paraId="159F42E7" w14:textId="77777777" w:rsidR="006E3EE1" w:rsidRPr="00D82528" w:rsidRDefault="006E3EE1" w:rsidP="00A40A83">
      <w:pPr>
        <w:numPr>
          <w:ilvl w:val="0"/>
          <w:numId w:val="3"/>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przeprowadzenie pomiarów i badań laboratoryjnych określonych w specyfikacji technicznej,</w:t>
      </w:r>
    </w:p>
    <w:p w14:paraId="19D66446" w14:textId="77777777" w:rsidR="006E3EE1" w:rsidRPr="00D82528" w:rsidRDefault="006E3EE1" w:rsidP="00A40A83">
      <w:pPr>
        <w:numPr>
          <w:ilvl w:val="0"/>
          <w:numId w:val="3"/>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utrzymanie podbudowy w czasie robót.</w:t>
      </w:r>
    </w:p>
    <w:p w14:paraId="50D1886D" w14:textId="77777777" w:rsidR="006E3EE1" w:rsidRPr="00D82528" w:rsidRDefault="006E3EE1" w:rsidP="00A40A83">
      <w:pPr>
        <w:keepNext/>
        <w:spacing w:before="240" w:after="60" w:line="240" w:lineRule="auto"/>
        <w:ind w:left="709"/>
        <w:outlineLvl w:val="0"/>
        <w:rPr>
          <w:rFonts w:ascii="Times New Roman" w:eastAsia="Times New Roman" w:hAnsi="Times New Roman" w:cs="Times New Roman"/>
          <w:b/>
          <w:bCs/>
          <w:kern w:val="32"/>
          <w:sz w:val="32"/>
          <w:szCs w:val="32"/>
          <w:lang w:eastAsia="pl-PL"/>
        </w:rPr>
      </w:pPr>
      <w:bookmarkStart w:id="13" w:name="_Toc423398339"/>
      <w:r w:rsidRPr="00D82528">
        <w:rPr>
          <w:rFonts w:ascii="Times New Roman" w:eastAsia="Times New Roman" w:hAnsi="Times New Roman" w:cs="Times New Roman"/>
          <w:b/>
          <w:bCs/>
          <w:kern w:val="32"/>
          <w:sz w:val="32"/>
          <w:szCs w:val="32"/>
          <w:lang w:eastAsia="pl-PL"/>
        </w:rPr>
        <w:lastRenderedPageBreak/>
        <w:t>10. Przepisy związane</w:t>
      </w:r>
      <w:bookmarkEnd w:id="13"/>
    </w:p>
    <w:p w14:paraId="116BA3E1" w14:textId="77777777" w:rsidR="006E3EE1" w:rsidRPr="00D82528" w:rsidRDefault="006E3EE1" w:rsidP="00A40A83">
      <w:pPr>
        <w:keepNext/>
        <w:spacing w:before="240" w:after="60" w:line="240" w:lineRule="auto"/>
        <w:ind w:left="709"/>
        <w:outlineLvl w:val="1"/>
        <w:rPr>
          <w:rFonts w:ascii="Times New Roman" w:eastAsia="Times New Roman" w:hAnsi="Times New Roman" w:cs="Times New Roman"/>
          <w:b/>
          <w:bCs/>
          <w:iCs/>
          <w:sz w:val="28"/>
          <w:szCs w:val="28"/>
          <w:lang w:eastAsia="pl-PL"/>
        </w:rPr>
      </w:pPr>
      <w:r w:rsidRPr="00D82528">
        <w:rPr>
          <w:rFonts w:ascii="Times New Roman" w:eastAsia="Times New Roman" w:hAnsi="Times New Roman" w:cs="Times New Roman"/>
          <w:b/>
          <w:bCs/>
          <w:iCs/>
          <w:sz w:val="28"/>
          <w:szCs w:val="28"/>
          <w:lang w:eastAsia="pl-PL"/>
        </w:rPr>
        <w:t>10.1. Normy</w:t>
      </w:r>
    </w:p>
    <w:tbl>
      <w:tblPr>
        <w:tblW w:w="9711" w:type="dxa"/>
        <w:tblLayout w:type="fixed"/>
        <w:tblCellMar>
          <w:left w:w="70" w:type="dxa"/>
          <w:right w:w="70" w:type="dxa"/>
        </w:tblCellMar>
        <w:tblLook w:val="0000" w:firstRow="0" w:lastRow="0" w:firstColumn="0" w:lastColumn="0" w:noHBand="0" w:noVBand="0"/>
      </w:tblPr>
      <w:tblGrid>
        <w:gridCol w:w="637"/>
        <w:gridCol w:w="1843"/>
        <w:gridCol w:w="7231"/>
      </w:tblGrid>
      <w:tr w:rsidR="006E3EE1" w:rsidRPr="00D82528" w14:paraId="1564A864" w14:textId="77777777" w:rsidTr="0074785C">
        <w:tc>
          <w:tcPr>
            <w:tcW w:w="637" w:type="dxa"/>
          </w:tcPr>
          <w:p w14:paraId="697A9FE4"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  1.</w:t>
            </w:r>
          </w:p>
        </w:tc>
        <w:tc>
          <w:tcPr>
            <w:tcW w:w="1843" w:type="dxa"/>
          </w:tcPr>
          <w:p w14:paraId="2054CDAA"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PN-B-06714-12</w:t>
            </w:r>
          </w:p>
        </w:tc>
        <w:tc>
          <w:tcPr>
            <w:tcW w:w="7231" w:type="dxa"/>
          </w:tcPr>
          <w:p w14:paraId="7062B272"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Kruszywa mineralne. Badania. Oznaczanie zawartości zanieczyszczeń obcych</w:t>
            </w:r>
          </w:p>
        </w:tc>
      </w:tr>
      <w:tr w:rsidR="006E3EE1" w:rsidRPr="00D82528" w14:paraId="2FF4D481" w14:textId="77777777" w:rsidTr="0074785C">
        <w:tc>
          <w:tcPr>
            <w:tcW w:w="637" w:type="dxa"/>
          </w:tcPr>
          <w:p w14:paraId="519CCA3C"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  2.</w:t>
            </w:r>
          </w:p>
        </w:tc>
        <w:tc>
          <w:tcPr>
            <w:tcW w:w="1843" w:type="dxa"/>
          </w:tcPr>
          <w:p w14:paraId="07074BB3"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PN-B-06714-15</w:t>
            </w:r>
          </w:p>
        </w:tc>
        <w:tc>
          <w:tcPr>
            <w:tcW w:w="7231" w:type="dxa"/>
          </w:tcPr>
          <w:p w14:paraId="3DEFB4B8"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Kruszywa mineralne. Badania. Oznaczanie składu ziarnowego</w:t>
            </w:r>
          </w:p>
        </w:tc>
      </w:tr>
      <w:tr w:rsidR="006E3EE1" w:rsidRPr="00D82528" w14:paraId="6E93FE63" w14:textId="77777777" w:rsidTr="0074785C">
        <w:tc>
          <w:tcPr>
            <w:tcW w:w="637" w:type="dxa"/>
          </w:tcPr>
          <w:p w14:paraId="5E8934A6"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  3.</w:t>
            </w:r>
          </w:p>
        </w:tc>
        <w:tc>
          <w:tcPr>
            <w:tcW w:w="1843" w:type="dxa"/>
          </w:tcPr>
          <w:p w14:paraId="50B5B1B3"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PN-B-06714-16</w:t>
            </w:r>
          </w:p>
        </w:tc>
        <w:tc>
          <w:tcPr>
            <w:tcW w:w="7231" w:type="dxa"/>
          </w:tcPr>
          <w:p w14:paraId="656F015B"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Kruszywa mineralne. Badania. Oznaczanie kształtu ziarn</w:t>
            </w:r>
          </w:p>
        </w:tc>
      </w:tr>
      <w:tr w:rsidR="006E3EE1" w:rsidRPr="00D82528" w14:paraId="2DB4DC10" w14:textId="77777777" w:rsidTr="0074785C">
        <w:tc>
          <w:tcPr>
            <w:tcW w:w="637" w:type="dxa"/>
          </w:tcPr>
          <w:p w14:paraId="3E92FF3F"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  4.</w:t>
            </w:r>
          </w:p>
        </w:tc>
        <w:tc>
          <w:tcPr>
            <w:tcW w:w="1843" w:type="dxa"/>
          </w:tcPr>
          <w:p w14:paraId="2856E14A"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PN-B-06714-18</w:t>
            </w:r>
          </w:p>
        </w:tc>
        <w:tc>
          <w:tcPr>
            <w:tcW w:w="7231" w:type="dxa"/>
          </w:tcPr>
          <w:p w14:paraId="280D9FB6"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Kruszywa mineralne. Badania. Oznaczanie nasiąkliwości</w:t>
            </w:r>
          </w:p>
        </w:tc>
      </w:tr>
      <w:tr w:rsidR="006E3EE1" w:rsidRPr="00D82528" w14:paraId="27A4C5C6" w14:textId="77777777" w:rsidTr="0074785C">
        <w:tc>
          <w:tcPr>
            <w:tcW w:w="637" w:type="dxa"/>
          </w:tcPr>
          <w:p w14:paraId="0E6B2E94"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  5.</w:t>
            </w:r>
          </w:p>
        </w:tc>
        <w:tc>
          <w:tcPr>
            <w:tcW w:w="1843" w:type="dxa"/>
          </w:tcPr>
          <w:p w14:paraId="40E6924C"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PN-B-06714-19</w:t>
            </w:r>
          </w:p>
        </w:tc>
        <w:tc>
          <w:tcPr>
            <w:tcW w:w="7231" w:type="dxa"/>
          </w:tcPr>
          <w:p w14:paraId="68873FBB"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Kruszywa mineralne. Badania. Oznaczanie mrozoodporności metodą bezpośrednią</w:t>
            </w:r>
          </w:p>
        </w:tc>
      </w:tr>
      <w:tr w:rsidR="006E3EE1" w:rsidRPr="00D82528" w14:paraId="1D1982FB" w14:textId="77777777" w:rsidTr="0074785C">
        <w:tc>
          <w:tcPr>
            <w:tcW w:w="637" w:type="dxa"/>
          </w:tcPr>
          <w:p w14:paraId="7743F26D"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  6.</w:t>
            </w:r>
          </w:p>
        </w:tc>
        <w:tc>
          <w:tcPr>
            <w:tcW w:w="1843" w:type="dxa"/>
          </w:tcPr>
          <w:p w14:paraId="04B833F7"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PN-B-06714-26</w:t>
            </w:r>
          </w:p>
        </w:tc>
        <w:tc>
          <w:tcPr>
            <w:tcW w:w="7231" w:type="dxa"/>
          </w:tcPr>
          <w:p w14:paraId="29AE41A8"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Kruszywa mineralne. Badania. Oznaczanie zawartości zanieczyszczeń organicznych</w:t>
            </w:r>
          </w:p>
        </w:tc>
      </w:tr>
      <w:tr w:rsidR="006E3EE1" w:rsidRPr="00D82528" w14:paraId="28C63D83" w14:textId="77777777" w:rsidTr="0074785C">
        <w:tc>
          <w:tcPr>
            <w:tcW w:w="637" w:type="dxa"/>
          </w:tcPr>
          <w:p w14:paraId="76C28C74"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  7.</w:t>
            </w:r>
          </w:p>
        </w:tc>
        <w:tc>
          <w:tcPr>
            <w:tcW w:w="1843" w:type="dxa"/>
          </w:tcPr>
          <w:p w14:paraId="209343F7"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PN-B-06714-42</w:t>
            </w:r>
          </w:p>
        </w:tc>
        <w:tc>
          <w:tcPr>
            <w:tcW w:w="7231" w:type="dxa"/>
          </w:tcPr>
          <w:p w14:paraId="4CA31E17"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Kruszywa mineralne. Badania. Oznaczanie ścieralności w bębnie Los Angeles</w:t>
            </w:r>
          </w:p>
        </w:tc>
      </w:tr>
      <w:tr w:rsidR="006E3EE1" w:rsidRPr="00D82528" w14:paraId="2074703D" w14:textId="77777777" w:rsidTr="0074785C">
        <w:tc>
          <w:tcPr>
            <w:tcW w:w="637" w:type="dxa"/>
          </w:tcPr>
          <w:p w14:paraId="5832864E"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  8.</w:t>
            </w:r>
          </w:p>
        </w:tc>
        <w:tc>
          <w:tcPr>
            <w:tcW w:w="1843" w:type="dxa"/>
          </w:tcPr>
          <w:p w14:paraId="255755A0"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PN-B-11112</w:t>
            </w:r>
          </w:p>
        </w:tc>
        <w:tc>
          <w:tcPr>
            <w:tcW w:w="7231" w:type="dxa"/>
          </w:tcPr>
          <w:p w14:paraId="227C9532"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Kruszywo mineralne. Kruszywo łamane do nawierzchni drogowych</w:t>
            </w:r>
          </w:p>
        </w:tc>
      </w:tr>
      <w:tr w:rsidR="006E3EE1" w:rsidRPr="00D82528" w14:paraId="2D381158" w14:textId="77777777" w:rsidTr="0074785C">
        <w:tc>
          <w:tcPr>
            <w:tcW w:w="637" w:type="dxa"/>
          </w:tcPr>
          <w:p w14:paraId="2E029C2B"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 xml:space="preserve">  9.</w:t>
            </w:r>
          </w:p>
        </w:tc>
        <w:tc>
          <w:tcPr>
            <w:tcW w:w="1843" w:type="dxa"/>
          </w:tcPr>
          <w:p w14:paraId="352DE674"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PN-S-96023</w:t>
            </w:r>
          </w:p>
        </w:tc>
        <w:tc>
          <w:tcPr>
            <w:tcW w:w="7231" w:type="dxa"/>
          </w:tcPr>
          <w:p w14:paraId="3CEEB8E6"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Konstrukcje drogowe. Podbudowa i nawierzchnia z tłucznia kamiennego</w:t>
            </w:r>
          </w:p>
        </w:tc>
      </w:tr>
      <w:tr w:rsidR="006E3EE1" w:rsidRPr="00D82528" w14:paraId="2B47AFB5" w14:textId="77777777" w:rsidTr="0074785C">
        <w:tc>
          <w:tcPr>
            <w:tcW w:w="637" w:type="dxa"/>
          </w:tcPr>
          <w:p w14:paraId="5AFE22E0"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10.</w:t>
            </w:r>
          </w:p>
        </w:tc>
        <w:tc>
          <w:tcPr>
            <w:tcW w:w="1843" w:type="dxa"/>
          </w:tcPr>
          <w:p w14:paraId="628CD745"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BN-64/8931-02</w:t>
            </w:r>
          </w:p>
        </w:tc>
        <w:tc>
          <w:tcPr>
            <w:tcW w:w="7231" w:type="dxa"/>
          </w:tcPr>
          <w:p w14:paraId="502B617C"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Drogi samochodowe. Oznaczanie modułu odkształcenia nawierzchni podatnych i podłoża przez obciążenie płytą</w:t>
            </w:r>
          </w:p>
        </w:tc>
      </w:tr>
      <w:tr w:rsidR="006E3EE1" w:rsidRPr="00D82528" w14:paraId="53EADFD7" w14:textId="77777777" w:rsidTr="0074785C">
        <w:tc>
          <w:tcPr>
            <w:tcW w:w="637" w:type="dxa"/>
          </w:tcPr>
          <w:p w14:paraId="782C8E8A" w14:textId="77777777" w:rsidR="006E3EE1" w:rsidRPr="00D82528" w:rsidRDefault="006E3EE1" w:rsidP="00A40A83">
            <w:pPr>
              <w:spacing w:after="0" w:line="240" w:lineRule="auto"/>
              <w:ind w:left="709"/>
              <w:jc w:val="center"/>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11.</w:t>
            </w:r>
          </w:p>
        </w:tc>
        <w:tc>
          <w:tcPr>
            <w:tcW w:w="1843" w:type="dxa"/>
          </w:tcPr>
          <w:p w14:paraId="60653187"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BN-68/8931-04</w:t>
            </w:r>
          </w:p>
        </w:tc>
        <w:tc>
          <w:tcPr>
            <w:tcW w:w="7231" w:type="dxa"/>
          </w:tcPr>
          <w:p w14:paraId="2529E960" w14:textId="77777777" w:rsidR="006E3EE1" w:rsidRPr="00D82528" w:rsidRDefault="006E3EE1" w:rsidP="00A40A83">
            <w:pPr>
              <w:spacing w:after="0" w:line="240" w:lineRule="auto"/>
              <w:ind w:left="709"/>
              <w:rPr>
                <w:rFonts w:ascii="Times New Roman" w:eastAsia="Times New Roman" w:hAnsi="Times New Roman" w:cs="Times New Roman"/>
                <w:sz w:val="24"/>
                <w:szCs w:val="24"/>
                <w:lang w:eastAsia="pl-PL"/>
              </w:rPr>
            </w:pPr>
            <w:r w:rsidRPr="00D82528">
              <w:rPr>
                <w:rFonts w:ascii="Times New Roman" w:eastAsia="Times New Roman" w:hAnsi="Times New Roman" w:cs="Times New Roman"/>
                <w:sz w:val="24"/>
                <w:szCs w:val="24"/>
                <w:lang w:eastAsia="pl-PL"/>
              </w:rPr>
              <w:t>Drogi samochodowe. Pomiar równości nawierzchni planografem i łatą.</w:t>
            </w:r>
          </w:p>
        </w:tc>
      </w:tr>
    </w:tbl>
    <w:p w14:paraId="5F182052" w14:textId="77777777" w:rsidR="006E72CF" w:rsidRPr="00D82528" w:rsidRDefault="006E72CF" w:rsidP="00A40A83">
      <w:pPr>
        <w:ind w:left="709"/>
        <w:rPr>
          <w:rFonts w:ascii="Times New Roman" w:hAnsi="Times New Roman" w:cs="Times New Roman"/>
          <w:sz w:val="24"/>
          <w:szCs w:val="24"/>
        </w:rPr>
      </w:pPr>
    </w:p>
    <w:sectPr w:rsidR="006E72CF" w:rsidRPr="00D82528" w:rsidSect="00083FF8">
      <w:headerReference w:type="default" r:id="rId17"/>
      <w:footerReference w:type="default" r:id="rId18"/>
      <w:pgSz w:w="11906" w:h="16838"/>
      <w:pgMar w:top="1417" w:right="1417" w:bottom="1417" w:left="1417" w:header="708" w:footer="708" w:gutter="0"/>
      <w:pgNumType w:start="7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FA004" w14:textId="77777777" w:rsidR="0084325D" w:rsidRDefault="0084325D" w:rsidP="00813BD0">
      <w:pPr>
        <w:spacing w:after="0" w:line="240" w:lineRule="auto"/>
      </w:pPr>
      <w:r>
        <w:separator/>
      </w:r>
    </w:p>
  </w:endnote>
  <w:endnote w:type="continuationSeparator" w:id="0">
    <w:p w14:paraId="6584BD5C" w14:textId="77777777" w:rsidR="0084325D" w:rsidRDefault="0084325D" w:rsidP="00813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6540506"/>
      <w:docPartObj>
        <w:docPartGallery w:val="Page Numbers (Bottom of Page)"/>
        <w:docPartUnique/>
      </w:docPartObj>
    </w:sdtPr>
    <w:sdtContent>
      <w:p w14:paraId="3202A152" w14:textId="01CDB905" w:rsidR="00D15893" w:rsidRDefault="00D15893">
        <w:pPr>
          <w:pStyle w:val="Stopka"/>
          <w:jc w:val="right"/>
        </w:pPr>
        <w:r>
          <w:fldChar w:fldCharType="begin"/>
        </w:r>
        <w:r>
          <w:instrText>PAGE   \* MERGEFORMAT</w:instrText>
        </w:r>
        <w:r>
          <w:fldChar w:fldCharType="separate"/>
        </w:r>
        <w:r>
          <w:t>2</w:t>
        </w:r>
        <w:r>
          <w:fldChar w:fldCharType="end"/>
        </w:r>
      </w:p>
    </w:sdtContent>
  </w:sdt>
  <w:p w14:paraId="129A7E5D" w14:textId="77777777" w:rsidR="008F767C" w:rsidRDefault="008F76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D4996" w14:textId="77777777" w:rsidR="0084325D" w:rsidRDefault="0084325D" w:rsidP="00813BD0">
      <w:pPr>
        <w:spacing w:after="0" w:line="240" w:lineRule="auto"/>
      </w:pPr>
      <w:r>
        <w:separator/>
      </w:r>
    </w:p>
  </w:footnote>
  <w:footnote w:type="continuationSeparator" w:id="0">
    <w:p w14:paraId="793A67CD" w14:textId="77777777" w:rsidR="0084325D" w:rsidRDefault="0084325D" w:rsidP="00813B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73CDE" w14:textId="0C5BECAF" w:rsidR="00813BD0" w:rsidRPr="00DE5AC7" w:rsidRDefault="00DE5AC7" w:rsidP="00DE5AC7">
    <w:pPr>
      <w:pStyle w:val="Nagwek"/>
    </w:pPr>
    <w:r w:rsidRPr="00DE5AC7">
      <w:rPr>
        <w:rFonts w:ascii="Arial Narrow" w:hAnsi="Arial Narrow"/>
        <w:u w:val="single"/>
      </w:rPr>
      <w:t>Przebudowa drogi powiatowej nr 3149D km 7+700-7+841 oraz 7+978-8+466 w m. Potworów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AE0EC82"/>
    <w:lvl w:ilvl="0">
      <w:numFmt w:val="decimal"/>
      <w:lvlText w:val="*"/>
      <w:lvlJc w:val="left"/>
      <w:pPr>
        <w:ind w:left="0" w:firstLine="0"/>
      </w:pPr>
    </w:lvl>
  </w:abstractNum>
  <w:abstractNum w:abstractNumId="1" w15:restartNumberingAfterBreak="0">
    <w:nsid w:val="1F773F77"/>
    <w:multiLevelType w:val="hybridMultilevel"/>
    <w:tmpl w:val="06347866"/>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AF1279"/>
    <w:multiLevelType w:val="singleLevel"/>
    <w:tmpl w:val="E23CC47C"/>
    <w:lvl w:ilvl="0">
      <w:start w:val="1"/>
      <w:numFmt w:val="lowerLetter"/>
      <w:lvlText w:val="%1)"/>
      <w:legacy w:legacy="1" w:legacySpace="0" w:legacyIndent="283"/>
      <w:lvlJc w:val="left"/>
      <w:pPr>
        <w:ind w:left="283" w:hanging="283"/>
      </w:pPr>
    </w:lvl>
  </w:abstractNum>
  <w:num w:numId="1" w16cid:durableId="939528963">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16cid:durableId="1305239596">
    <w:abstractNumId w:val="2"/>
  </w:num>
  <w:num w:numId="3" w16cid:durableId="5497320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EE1"/>
    <w:rsid w:val="00083FF8"/>
    <w:rsid w:val="0008422F"/>
    <w:rsid w:val="00134F21"/>
    <w:rsid w:val="001623ED"/>
    <w:rsid w:val="00170F19"/>
    <w:rsid w:val="001B14FC"/>
    <w:rsid w:val="00427308"/>
    <w:rsid w:val="00451B7E"/>
    <w:rsid w:val="00487301"/>
    <w:rsid w:val="0048795B"/>
    <w:rsid w:val="0049073C"/>
    <w:rsid w:val="005200BE"/>
    <w:rsid w:val="00526622"/>
    <w:rsid w:val="0058753B"/>
    <w:rsid w:val="005E4F63"/>
    <w:rsid w:val="00654B60"/>
    <w:rsid w:val="006E3EE1"/>
    <w:rsid w:val="006E72CF"/>
    <w:rsid w:val="00721D4C"/>
    <w:rsid w:val="00807EE8"/>
    <w:rsid w:val="00813BD0"/>
    <w:rsid w:val="00830AC1"/>
    <w:rsid w:val="0084325D"/>
    <w:rsid w:val="008565E2"/>
    <w:rsid w:val="008F767C"/>
    <w:rsid w:val="009319A8"/>
    <w:rsid w:val="009A0707"/>
    <w:rsid w:val="00A40A83"/>
    <w:rsid w:val="00B5366F"/>
    <w:rsid w:val="00B764AC"/>
    <w:rsid w:val="00C26C8B"/>
    <w:rsid w:val="00C27D32"/>
    <w:rsid w:val="00CC4CD1"/>
    <w:rsid w:val="00CF16B2"/>
    <w:rsid w:val="00D15893"/>
    <w:rsid w:val="00D36658"/>
    <w:rsid w:val="00D82528"/>
    <w:rsid w:val="00DA6B62"/>
    <w:rsid w:val="00DD0082"/>
    <w:rsid w:val="00DE5AC7"/>
    <w:rsid w:val="00E53D2E"/>
    <w:rsid w:val="00E5778A"/>
    <w:rsid w:val="00F31941"/>
    <w:rsid w:val="00F60FE6"/>
    <w:rsid w:val="00F83C8B"/>
    <w:rsid w:val="00FA325C"/>
    <w:rsid w:val="00FF71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8AAC1EC"/>
  <w15:chartTrackingRefBased/>
  <w15:docId w15:val="{EF59AE4D-5702-4994-9812-7E175B99A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13B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13BD0"/>
  </w:style>
  <w:style w:type="paragraph" w:styleId="Stopka">
    <w:name w:val="footer"/>
    <w:basedOn w:val="Normalny"/>
    <w:link w:val="StopkaZnak"/>
    <w:uiPriority w:val="99"/>
    <w:unhideWhenUsed/>
    <w:rsid w:val="00813B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13B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832646">
      <w:bodyDiv w:val="1"/>
      <w:marLeft w:val="0"/>
      <w:marRight w:val="0"/>
      <w:marTop w:val="0"/>
      <w:marBottom w:val="0"/>
      <w:divBdr>
        <w:top w:val="none" w:sz="0" w:space="0" w:color="auto"/>
        <w:left w:val="none" w:sz="0" w:space="0" w:color="auto"/>
        <w:bottom w:val="none" w:sz="0" w:space="0" w:color="auto"/>
        <w:right w:val="none" w:sz="0" w:space="0" w:color="auto"/>
      </w:divBdr>
    </w:div>
    <w:div w:id="732850965">
      <w:bodyDiv w:val="1"/>
      <w:marLeft w:val="0"/>
      <w:marRight w:val="0"/>
      <w:marTop w:val="0"/>
      <w:marBottom w:val="0"/>
      <w:divBdr>
        <w:top w:val="none" w:sz="0" w:space="0" w:color="auto"/>
        <w:left w:val="none" w:sz="0" w:space="0" w:color="auto"/>
        <w:bottom w:val="none" w:sz="0" w:space="0" w:color="auto"/>
        <w:right w:val="none" w:sz="0" w:space="0" w:color="auto"/>
      </w:divBdr>
    </w:div>
    <w:div w:id="188274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5.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10</Pages>
  <Words>2645</Words>
  <Characters>15873</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Aleksander Piętka</dc:creator>
  <cp:keywords/>
  <dc:description/>
  <cp:lastModifiedBy>Aleksander Piętka</cp:lastModifiedBy>
  <cp:revision>8</cp:revision>
  <dcterms:created xsi:type="dcterms:W3CDTF">2024-04-09T17:17:00Z</dcterms:created>
  <dcterms:modified xsi:type="dcterms:W3CDTF">2025-08-24T12:03:00Z</dcterms:modified>
</cp:coreProperties>
</file>